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91.png" ContentType="image/png"/>
  <Override PartName="/word/media/rId32.png" ContentType="image/png"/>
  <Override PartName="/word/media/rId101.png" ContentType="image/png"/>
  <Override PartName="/word/media/rId63.png" ContentType="image/png"/>
  <Override PartName="/word/media/rId67.png" ContentType="image/png"/>
  <Override PartName="/word/media/rId196.png" ContentType="image/png"/>
  <Override PartName="/word/media/rId288.png" ContentType="image/png"/>
  <Override PartName="/word/media/rId294.png" ContentType="image/png"/>
  <Override PartName="/word/media/rId210.png" ContentType="image/png"/>
  <Override PartName="/word/media/rId213.png" ContentType="image/png"/>
  <Override PartName="/word/media/rId218.png" ContentType="image/png"/>
  <Override PartName="/word/media/rId224.png" ContentType="image/png"/>
  <Override PartName="/word/media/rId234.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00.png" ContentType="image/png"/>
  <Override PartName="/word/media/rId203.png" ContentType="image/png"/>
  <Override PartName="/word/media/rId184.png" ContentType="image/png"/>
  <Override PartName="/word/media/rId188.png" ContentType="image/png"/>
  <Override PartName="/word/media/rId1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Seamus Murphy</w:t>
      </w:r>
    </w:p>
    <w:p>
      <w:pPr>
        <w:pStyle w:val="Author"/>
      </w:pPr>
      <w:r>
        <w:t xml:space="preserve">Dr Julie Nash</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Trends of Forests</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0"/>
    <w:bookmarkEnd w:id="31"/>
    <w:bookmarkStart w:id="95"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p>
      <w:pPr>
        <w:pStyle w:val="BodyText"/>
      </w:pPr>
    </w:p>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39"/>
    <w:bookmarkStart w:id="60"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p>
      <w:pPr>
        <w:pStyle w:val="BodyText"/>
      </w:pPr>
    </w:p>
    <w:bookmarkStart w:id="47"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Species’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DBH Spread</w:t>
            </w:r>
          </w:p>
        </w:tc>
      </w:tr>
      <w:tr>
        <w:trPr>
          <w:cantSplit/>
        </w:trPr>
        <w:tc>
          <w:tcPr>
            <w:tcMar>
              <w:top w:w="108" w:type="dxa"/>
              <w:bottom w:w="108" w:type="dxa"/>
            </w:tcMar>
          </w:tcPr>
          <w:p>
            <w:pPr>
              <w:pStyle w:val="BodyText"/>
            </w:pPr>
            <w:pPr>
              <w:spacing w:before="16" w:after="16"/>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tc>
      </w:tr>
    </w:tbl>
    <w:p>
      <w:pPr>
        <w:pStyle w:val="BodyText"/>
      </w:pP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p>
      <w:pPr>
        <w:pStyle w:val="FirstParagraph"/>
      </w:pPr>
    </w:p>
    <w:bookmarkStart w:id="52" w:name="step-1-geographic-selection"/>
    <w:p>
      <w:pPr>
        <w:pStyle w:val="Heading4"/>
      </w:pPr>
      <w:r>
        <w:t xml:space="preserve">Step 1: Geographic Selection</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Chave et al 2014</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Brown et al 1996</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BodyText"/>
      </w:pPr>
      <w:r>
        <w:br/>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p>
      <w:pPr>
        <w:pStyle w:val="FirstParagraph"/>
      </w:pPr>
    </w:p>
    <w:bookmarkEnd w:id="58"/>
    <w:bookmarkEnd w:id="59"/>
    <w:bookmarkEnd w:id="60"/>
    <w:bookmarkStart w:id="73" w:name="biomass-estimations"/>
    <w:p>
      <w:pPr>
        <w:pStyle w:val="Heading2"/>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quarto/share/formats/docx/tip.png" id="6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1"/>
        </w:numPr>
      </w:pPr>
      <w:r>
        <w:t xml:space="preserve">Skewness &amp; Kurtosis: Quantify asymmetry and tail behavior</w:t>
      </w:r>
    </w:p>
    <w:p>
      <w:pPr>
        <w:pStyle w:val="Compact"/>
        <w:numPr>
          <w:ilvl w:val="0"/>
          <w:numId w:val="1021"/>
        </w:numPr>
      </w:pPr>
      <w:r>
        <w:t xml:space="preserve">Shapiro-Wilk test: Formal normality test (p &lt; 0.05 rejects normality)</w:t>
      </w:r>
    </w:p>
    <w:p>
      <w:pPr>
        <w:pStyle w:val="Compact"/>
        <w:numPr>
          <w:ilvl w:val="0"/>
          <w:numId w:val="1021"/>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2"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2"/>
        </w:numPr>
      </w:pPr>
      <w:r>
        <w:t xml:space="preserve">Null hypothesis (H₀): Variance is constant or homoscedastic</w:t>
      </w:r>
    </w:p>
    <w:p>
      <w:pPr>
        <w:pStyle w:val="Compact"/>
        <w:numPr>
          <w:ilvl w:val="0"/>
          <w:numId w:val="1022"/>
        </w:numPr>
      </w:pPr>
      <w:r>
        <w:t xml:space="preserve">Alternative (H₁): Variance changes with predictor values and is heteroscedastic</w:t>
      </w:r>
    </w:p>
    <w:p>
      <w:pPr>
        <w:pStyle w:val="Compact"/>
        <w:numPr>
          <w:ilvl w:val="0"/>
          <w:numId w:val="1022"/>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Uncertainty Effect</w:t>
            </w:r>
          </w:p>
        </w:tc>
      </w:tr>
      <w:tr>
        <w:trPr>
          <w:cantSplit/>
        </w:trPr>
        <w:tc>
          <w:tcPr>
            <w:tcMar>
              <w:top w:w="108" w:type="dxa"/>
              <w:bottom w:w="108" w:type="dxa"/>
            </w:tcMar>
          </w:tcPr>
          <w:p>
            <w:pPr>
              <w:pStyle w:val="BodyText"/>
            </w:pPr>
            <w:pPr>
              <w:spacing w:before="16"/>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rPr>
                <w:b/>
                <w:bCs/>
              </w:rPr>
              <w:t xml:space="preserve">Required corrections:</w:t>
            </w:r>
          </w:p>
          <w:p>
            <w:pPr>
              <w:pStyle w:val="Compact"/>
              <w:numPr>
                <w:ilvl w:val="0"/>
                <w:numId w:val="1023"/>
              </w:numPr>
            </w:pPr>
            <w:r>
              <w:t xml:space="preserve">Log-transformation of both variables</w:t>
            </w:r>
          </w:p>
          <w:p>
            <w:pPr>
              <w:pStyle w:val="Compact"/>
              <w:numPr>
                <w:ilvl w:val="0"/>
                <w:numId w:val="1023"/>
              </w:numPr>
            </w:pPr>
            <w:r>
              <w:t xml:space="preserve">Weighted regression for residual heteroscedasticity</w:t>
            </w:r>
          </w:p>
          <w:p>
            <w:pPr>
              <w:pStyle w:val="Compact"/>
              <w:numPr>
                <w:ilvl w:val="0"/>
                <w:numId w:val="1023"/>
              </w:numPr>
            </w:pPr>
            <w:r>
              <w:t xml:space="preserve">Robust standard errors to supplement transformation</w:t>
            </w:r>
          </w:p>
        </w:tc>
      </w:tr>
    </w:tbl>
    <w:bookmarkEnd w:id="72"/>
    <w:bookmarkEnd w:id="73"/>
    <w:bookmarkStart w:id="80" w:name="model-optimization"/>
    <w:p>
      <w:pPr>
        <w:pStyle w:val="Heading2"/>
      </w:pPr>
      <w:r>
        <w:t xml:space="preserve">1.3 Model Optimization</w:t>
      </w:r>
    </w:p>
    <w:bookmarkStart w:id="79"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4"/>
        </w:numPr>
      </w:pPr>
      <w:r>
        <w:rPr>
          <w:rStyle w:val="VerbatimChar"/>
        </w:rPr>
        <w:t xml:space="preserve">β</w:t>
      </w:r>
      <w:r>
        <w:t xml:space="preserve"> </w:t>
      </w:r>
      <w:r>
        <w:t xml:space="preserve">becomes a slope coefficient</w:t>
      </w:r>
    </w:p>
    <w:p>
      <w:pPr>
        <w:pStyle w:val="Compact"/>
        <w:numPr>
          <w:ilvl w:val="0"/>
          <w:numId w:val="1024"/>
        </w:numPr>
      </w:pPr>
      <w:r>
        <w:t xml:space="preserve">Variance stabilizes across tree sizes</w:t>
      </w:r>
    </w:p>
    <w:p>
      <w:pPr>
        <w:pStyle w:val="Compact"/>
        <w:numPr>
          <w:ilvl w:val="0"/>
          <w:numId w:val="1024"/>
        </w:numPr>
      </w:pPr>
      <w:r>
        <w:t xml:space="preserve">Residuals are normalized enough to satisfy OLS assumptions that our predictions are dependent on</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important.png" id="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p>
    <w:p>
      <w:pPr>
        <w:pStyle w:val="BodyText"/>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8" w:name="age-size-training-stratification"/>
    <w:p>
      <w:pPr>
        <w:pStyle w:val="Heading4"/>
      </w:pPr>
      <w:r>
        <w:t xml:space="preserve">Age-Size Training Stratification</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quarto/share/formats/docx/tip.png" id="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Training-Test Proportionality</w:t>
            </w:r>
          </w:p>
        </w:tc>
      </w:tr>
      <w:tr>
        <w:trPr>
          <w:cantSplit/>
        </w:trPr>
        <w:tc>
          <w:tcPr>
            <w:tcMar>
              <w:top w:w="108" w:type="dxa"/>
              <w:bottom w:w="108" w:type="dxa"/>
            </w:tcMar>
          </w:tcPr>
          <w:p>
            <w:pPr>
              <w:pStyle w:val="BodyText"/>
            </w:pPr>
            <w:pPr>
              <w:spacing w:before="16" w:after="16"/>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tc>
      </w:tr>
    </w:tbl>
    <w:bookmarkEnd w:id="78"/>
    <w:bookmarkEnd w:id="79"/>
    <w:bookmarkEnd w:id="80"/>
    <w:bookmarkStart w:id="82"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5"/>
        </w:numPr>
      </w:pPr>
      <w:r>
        <w:t xml:space="preserve">Assess generalization: Test model performance on unseen data</w:t>
      </w:r>
    </w:p>
    <w:p>
      <w:pPr>
        <w:pStyle w:val="Compact"/>
        <w:numPr>
          <w:ilvl w:val="0"/>
          <w:numId w:val="1025"/>
        </w:numPr>
      </w:pPr>
      <w:r>
        <w:t xml:space="preserve">Quantify uncertainty: Calculate robust RMSE estimates</w:t>
      </w:r>
    </w:p>
    <w:p>
      <w:pPr>
        <w:pStyle w:val="Compact"/>
        <w:numPr>
          <w:ilvl w:val="0"/>
          <w:numId w:val="1025"/>
        </w:numPr>
      </w:pPr>
      <w:r>
        <w:t xml:space="preserve">Compare models: Select best-performing equation type</w:t>
      </w:r>
    </w:p>
    <w:p>
      <w:pPr>
        <w:pStyle w:val="Compact"/>
        <w:numPr>
          <w:ilvl w:val="0"/>
          <w:numId w:val="1025"/>
        </w:numPr>
      </w:pPr>
      <w:r>
        <w:t xml:space="preserve">Meet MRV standards: Demonstrate compliance with ART-TREES/VCS requirements</w:t>
      </w:r>
    </w:p>
    <w:bookmarkStart w:id="81" w:name="monte-carlo-simulation-design"/>
    <w:p>
      <w:pPr>
        <w:pStyle w:val="Heading4"/>
      </w:pPr>
      <w:r>
        <w:t xml:space="preserve">Monte Carlo Simulation Design:</w:t>
      </w:r>
    </w:p>
    <w:p>
      <w:pPr>
        <w:pStyle w:val="Compact"/>
        <w:numPr>
          <w:ilvl w:val="0"/>
          <w:numId w:val="1026"/>
        </w:numPr>
      </w:pPr>
      <w:r>
        <w:t xml:space="preserve">100 iterations: Each iteration randomly samples 80% calibration, 20% validation</w:t>
      </w:r>
    </w:p>
    <w:p>
      <w:pPr>
        <w:pStyle w:val="Compact"/>
        <w:numPr>
          <w:ilvl w:val="0"/>
          <w:numId w:val="1026"/>
        </w:numPr>
      </w:pPr>
      <w:r>
        <w:t xml:space="preserve">Stratified sampling: Maintains DBH size class proportions (Section 1.3.3)</w:t>
      </w:r>
    </w:p>
    <w:p>
      <w:pPr>
        <w:pStyle w:val="Compact"/>
        <w:numPr>
          <w:ilvl w:val="0"/>
          <w:numId w:val="1026"/>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p>
      <w:pPr>
        <w:pStyle w:val="FirstParagraph"/>
      </w:pPr>
    </w:p>
    <w:bookmarkEnd w:id="81"/>
    <w:bookmarkEnd w:id="82"/>
    <w:bookmarkStart w:id="88" w:name="allometric-uncertainty"/>
    <w:p>
      <w:pPr>
        <w:pStyle w:val="Heading2"/>
      </w:pPr>
      <w:r>
        <w:t xml:space="preserve">1.5 Allometric Uncertainty</w:t>
      </w:r>
    </w:p>
    <w:bookmarkStart w:id="83"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7"/>
        </w:numPr>
      </w:pPr>
      <w:r>
        <w:t xml:space="preserve">RMSE (Root Mean Square Error): Primary uncertainty metric for ART-TREES deductions</w:t>
      </w:r>
    </w:p>
    <w:p>
      <w:pPr>
        <w:pStyle w:val="Compact"/>
        <w:numPr>
          <w:ilvl w:val="0"/>
          <w:numId w:val="1027"/>
        </w:numPr>
      </w:pPr>
      <w:r>
        <w:t xml:space="preserve">Relative RMSE (%): RMSE as percentage of mean, enabling cross-equation comparison</w:t>
      </w:r>
    </w:p>
    <w:p>
      <w:pPr>
        <w:pStyle w:val="Compact"/>
        <w:numPr>
          <w:ilvl w:val="0"/>
          <w:numId w:val="1027"/>
        </w:numPr>
      </w:pPr>
      <w:r>
        <w:t xml:space="preserve">MAE (Mean Absolute Error): Robust alternative less sensitive to outliers</w:t>
      </w:r>
    </w:p>
    <w:p>
      <w:pPr>
        <w:pStyle w:val="Compact"/>
        <w:numPr>
          <w:ilvl w:val="0"/>
          <w:numId w:val="1027"/>
        </w:numPr>
      </w:pPr>
      <w:r>
        <w:t xml:space="preserve">R² (Coefficient of Determination): Proportion of variance explained</w:t>
      </w:r>
    </w:p>
    <w:p>
      <w:pPr>
        <w:pStyle w:val="Compact"/>
        <w:numPr>
          <w:ilvl w:val="0"/>
          <w:numId w:val="1027"/>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3"/>
    <w:bookmarkStart w:id="84"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4"/>
    <w:bookmarkStart w:id="87"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quarto/share/formats/docx/important.png" id="8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8"/>
              </w:numPr>
            </w:pPr>
            <w:r>
              <w:t xml:space="preserve">RMSE improvement: 18.9% =&gt; 15.2% (3.7 percentage points)</w:t>
            </w:r>
          </w:p>
          <w:p>
            <w:pPr>
              <w:pStyle w:val="Compact"/>
              <w:numPr>
                <w:ilvl w:val="0"/>
                <w:numId w:val="1028"/>
              </w:numPr>
            </w:pPr>
            <w:r>
              <w:t xml:space="preserve">Deduction reduction: 6.0% =&gt; 4.8% (1.2 percentage points)</w:t>
            </w:r>
          </w:p>
          <w:p>
            <w:pPr>
              <w:pStyle w:val="Compact"/>
              <w:numPr>
                <w:ilvl w:val="0"/>
                <w:numId w:val="1028"/>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29"/>
              </w:numPr>
            </w:pPr>
            <w:r>
              <w:t xml:space="preserve">Total protected revenue: ~$360,000</w:t>
            </w:r>
          </w:p>
          <w:p>
            <w:pPr>
              <w:pStyle w:val="Compact"/>
              <w:numPr>
                <w:ilvl w:val="0"/>
                <w:numId w:val="1029"/>
              </w:numPr>
            </w:pPr>
            <w:r>
              <w:t xml:space="preserve">Additional cost: ~$15-30k for species-specific equation development</w:t>
            </w:r>
          </w:p>
          <w:p>
            <w:pPr>
              <w:pStyle w:val="Compact"/>
              <w:numPr>
                <w:ilvl w:val="0"/>
                <w:numId w:val="1029"/>
              </w:numPr>
            </w:pPr>
            <w:r>
              <w:t xml:space="preserve">Return on investment: 12-24x</w:t>
            </w:r>
          </w:p>
        </w:tc>
      </w:tr>
    </w:tbl>
    <w:p>
      <w:pPr>
        <w:pStyle w:val="FirstParagraph"/>
      </w:pPr>
    </w:p>
    <w:bookmarkEnd w:id="87"/>
    <w:bookmarkEnd w:id="88"/>
    <w:bookmarkStart w:id="94" w:name="chapter-summary"/>
    <w:p>
      <w:pPr>
        <w:pStyle w:val="Heading2"/>
      </w:pPr>
      <w:r>
        <w:t xml:space="preserve">1.6 Chapter Summary</w:t>
      </w:r>
    </w:p>
    <w:bookmarkStart w:id="89" w:name="key-findings"/>
    <w:p>
      <w:pPr>
        <w:pStyle w:val="Heading3"/>
      </w:pPr>
      <w:r>
        <w:t xml:space="preserve">Key Findings</w:t>
      </w:r>
    </w:p>
    <w:p>
      <w:pPr>
        <w:pStyle w:val="Compact"/>
        <w:numPr>
          <w:ilvl w:val="0"/>
          <w:numId w:val="1030"/>
        </w:numPr>
      </w:pPr>
      <w:r>
        <w:t xml:space="preserve">Distribution diagnostics: DBH and AGB exhibit significant right-skew (p &lt; 0.001) across all equation types, violating parametric assumptions</w:t>
      </w:r>
    </w:p>
    <w:p>
      <w:pPr>
        <w:pStyle w:val="Compact"/>
        <w:numPr>
          <w:ilvl w:val="0"/>
          <w:numId w:val="1030"/>
        </w:numPr>
      </w:pPr>
      <w:r>
        <w:t xml:space="preserve">Heteroscedasticity confirmed: Breusch-Pagan test (p &lt; 0.001) shows variance increases with tree size, requiring log-transformation</w:t>
      </w:r>
    </w:p>
    <w:p>
      <w:pPr>
        <w:pStyle w:val="Compact"/>
        <w:numPr>
          <w:ilvl w:val="0"/>
          <w:numId w:val="1030"/>
        </w:numPr>
      </w:pPr>
      <w:r>
        <w:t xml:space="preserve">Transformation impact: Log-transformation reduces RMSE from ~70-75% (linear) to ~15-20% (log), achieving 50+ percentage point uncertainty reduction</w:t>
      </w:r>
    </w:p>
    <w:p>
      <w:pPr>
        <w:pStyle w:val="Compact"/>
        <w:numPr>
          <w:ilvl w:val="0"/>
          <w:numId w:val="1030"/>
        </w:numPr>
      </w:pPr>
      <w:r>
        <w:t xml:space="preserve">Equation performance:</w:t>
      </w:r>
    </w:p>
    <w:p>
      <w:pPr>
        <w:pStyle w:val="Compact"/>
        <w:numPr>
          <w:ilvl w:val="1"/>
          <w:numId w:val="1031"/>
        </w:numPr>
      </w:pPr>
      <w:r>
        <w:t xml:space="preserve">Species-specific (log): 15.2% RMSE, 4.8% deduction</w:t>
      </w:r>
    </w:p>
    <w:p>
      <w:pPr>
        <w:pStyle w:val="Compact"/>
        <w:numPr>
          <w:ilvl w:val="1"/>
          <w:numId w:val="1031"/>
        </w:numPr>
      </w:pPr>
      <w:r>
        <w:t xml:space="preserve">Genus-level (log): 16.3% RMSE, 5.2% deduction</w:t>
      </w:r>
    </w:p>
    <w:p>
      <w:pPr>
        <w:pStyle w:val="Compact"/>
        <w:numPr>
          <w:ilvl w:val="1"/>
          <w:numId w:val="1031"/>
        </w:numPr>
      </w:pPr>
      <w:r>
        <w:t xml:space="preserve">Pan-tropical (log): 17-19% RMSE, 5.4-6.0% deduction</w:t>
      </w:r>
    </w:p>
    <w:p>
      <w:pPr>
        <w:pStyle w:val="Compact"/>
        <w:numPr>
          <w:ilvl w:val="0"/>
          <w:numId w:val="1030"/>
        </w:numPr>
      </w:pPr>
      <w:r>
        <w:t xml:space="preserve">Cross-validation: 100-iteration Monte Carlo LGOCV confirms log-transformed models consistently outperform linear across all equation types</w:t>
      </w:r>
    </w:p>
    <w:bookmarkEnd w:id="89"/>
    <w:bookmarkStart w:id="90"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2"/>
        </w:numPr>
      </w:pPr>
      <w:r>
        <w:t xml:space="preserve">Log-transformation (CRITICAL): Achieves 90-95% of possible uncertainty reduction at zero marginal cost</w:t>
      </w:r>
    </w:p>
    <w:p>
      <w:pPr>
        <w:pStyle w:val="Compact"/>
        <w:numPr>
          <w:ilvl w:val="0"/>
          <w:numId w:val="1032"/>
        </w:numPr>
      </w:pPr>
      <w:r>
        <w:t xml:space="preserve">Species-specific equations: Reduces RMSE by 3-4 percentage points vs. genus-level, protecting $10-15k per million tCO₂e</w:t>
      </w:r>
    </w:p>
    <w:p>
      <w:pPr>
        <w:pStyle w:val="Compact"/>
        <w:numPr>
          <w:ilvl w:val="0"/>
          <w:numId w:val="1032"/>
        </w:numPr>
      </w:pPr>
      <w:r>
        <w:t xml:space="preserve">Stratified sampling: Ensures proportional representation across DBH classes, preventing bias from undersampling large trees</w:t>
      </w:r>
    </w:p>
    <w:p>
      <w:pPr>
        <w:pStyle w:val="Compact"/>
        <w:numPr>
          <w:ilvl w:val="0"/>
          <w:numId w:val="1032"/>
        </w:numPr>
      </w:pPr>
      <w:r>
        <w:t xml:space="preserve">Cross-validation: Quantifies out-of-sample error, avoiding overfitting and providing defensible uncertainty estimates</w:t>
      </w:r>
    </w:p>
    <w:p>
      <w:pPr>
        <w:pStyle w:val="Compact"/>
        <w:numPr>
          <w:ilvl w:val="0"/>
          <w:numId w:val="1032"/>
        </w:numPr>
      </w:pPr>
      <w:r>
        <w:t xml:space="preserve">Sample size adequacy: Minimum n≥50 trees per equation (Roxburgh et al. 2015), with stratification across ln(DBH) range</w:t>
      </w:r>
    </w:p>
    <w:p>
      <w:pPr>
        <w:pStyle w:val="Compact"/>
        <w:numPr>
          <w:ilvl w:val="0"/>
          <w:numId w:val="1032"/>
        </w:numPr>
      </w:pPr>
      <w:r>
        <w:t xml:space="preserve">Measurement precision: Target ±0.5 cm DBH error through calibrated instruments and trained field crews</w:t>
      </w:r>
    </w:p>
    <w:bookmarkEnd w:id="90"/>
    <w:bookmarkStart w:id="91"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1"/>
    <w:bookmarkStart w:id="92"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3"/>
        </w:numPr>
      </w:pPr>
      <w:r>
        <w:t xml:space="preserve">Equation rationale: Document geographic proximity, taxonomic specificity, DBH range coverage, sample size (Table from Section 1.2)</w:t>
      </w:r>
    </w:p>
    <w:p>
      <w:pPr>
        <w:pStyle w:val="Compact"/>
        <w:numPr>
          <w:ilvl w:val="0"/>
          <w:numId w:val="1033"/>
        </w:numPr>
      </w:pPr>
      <w:r>
        <w:t xml:space="preserve">Transformation justification: Demonstrate non-normality (Shapiro-Wilk), heteroscedasticity (Breusch-Pagan), RMSE reduction</w:t>
      </w:r>
    </w:p>
    <w:p>
      <w:pPr>
        <w:pStyle w:val="Compact"/>
        <w:numPr>
          <w:ilvl w:val="0"/>
          <w:numId w:val="1033"/>
        </w:numPr>
      </w:pPr>
      <w:r>
        <w:t xml:space="preserve">Cross-validation results: Report RMSE, relative RMSE, R², Shapiro-Wilk on residuals from Monte Carlo LGOCV</w:t>
      </w:r>
    </w:p>
    <w:p>
      <w:pPr>
        <w:pStyle w:val="Compact"/>
        <w:numPr>
          <w:ilvl w:val="0"/>
          <w:numId w:val="1033"/>
        </w:numPr>
      </w:pPr>
      <w:r>
        <w:t xml:space="preserve">Uncertainty calculation: Show ART Equation 11 application with half-width 90% CI derivation</w:t>
      </w:r>
    </w:p>
    <w:p>
      <w:pPr>
        <w:pStyle w:val="Compact"/>
        <w:numPr>
          <w:ilvl w:val="0"/>
          <w:numId w:val="1033"/>
        </w:numPr>
      </w:pPr>
      <w:r>
        <w:t xml:space="preserve">Stratification verification: Confirm proportional representation across DBH classes in calibration/validation splits</w:t>
      </w:r>
    </w:p>
    <w:bookmarkEnd w:id="92"/>
    <w:bookmarkStart w:id="93" w:name="next-steps"/>
    <w:p>
      <w:pPr>
        <w:pStyle w:val="Heading3"/>
      </w:pPr>
      <w:r>
        <w:t xml:space="preserve">Next Steps</w:t>
      </w:r>
    </w:p>
    <w:p>
      <w:pPr>
        <w:pStyle w:val="FirstParagraph"/>
      </w:pPr>
      <w:r>
        <w:t xml:space="preserve">Chapter 2: Emission Factors will address:</w:t>
      </w:r>
    </w:p>
    <w:p>
      <w:pPr>
        <w:pStyle w:val="Compact"/>
        <w:numPr>
          <w:ilvl w:val="0"/>
          <w:numId w:val="1034"/>
        </w:numPr>
      </w:pPr>
      <w:r>
        <w:t xml:space="preserve">IPCC default uncertainties (CH₄: ±30-40%, N₂O: ±50-60%)</w:t>
      </w:r>
    </w:p>
    <w:p>
      <w:pPr>
        <w:pStyle w:val="Compact"/>
        <w:numPr>
          <w:ilvl w:val="0"/>
          <w:numId w:val="1034"/>
        </w:numPr>
      </w:pPr>
      <w:r>
        <w:t xml:space="preserve">Combustion completeness and fire intensity effects</w:t>
      </w:r>
    </w:p>
    <w:p>
      <w:pPr>
        <w:pStyle w:val="Compact"/>
        <w:numPr>
          <w:ilvl w:val="0"/>
          <w:numId w:val="1034"/>
        </w:numPr>
      </w:pPr>
      <w:r>
        <w:t xml:space="preserve">Gas-specific emission ratios (CO₂, CH₄, N₂O)</w:t>
      </w:r>
    </w:p>
    <w:p>
      <w:pPr>
        <w:pStyle w:val="Compact"/>
        <w:numPr>
          <w:ilvl w:val="0"/>
          <w:numId w:val="1034"/>
        </w:numPr>
      </w:pPr>
      <w:r>
        <w:t xml:space="preserve">Field measurement protocols (FTIR, eddy covariance)</w:t>
      </w:r>
    </w:p>
    <w:bookmarkEnd w:id="93"/>
    <w:bookmarkEnd w:id="94"/>
    <w:bookmarkEnd w:id="95"/>
    <w:bookmarkStart w:id="172" w:name="emission-factors"/>
    <w:p>
      <w:pPr>
        <w:pStyle w:val="Heading1"/>
      </w:pPr>
      <w:r>
        <w:t xml:space="preserve">2. Emission Factors</w:t>
      </w:r>
    </w:p>
    <w:bookmarkStart w:id="96"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5"/>
        </w:numPr>
      </w:pPr>
      <w:r>
        <w:t xml:space="preserve">Distinguish between mineral soil stock-difference and organic soil flux-based accounting methodologies</w:t>
      </w:r>
    </w:p>
    <w:p>
      <w:pPr>
        <w:pStyle w:val="Compact"/>
        <w:numPr>
          <w:ilvl w:val="0"/>
          <w:numId w:val="1035"/>
        </w:numPr>
      </w:pPr>
      <w:r>
        <w:t xml:space="preserve">Select appropriate emission factors based on land use transitions, climate zones, and management practices</w:t>
      </w:r>
    </w:p>
    <w:p>
      <w:pPr>
        <w:pStyle w:val="Compact"/>
        <w:numPr>
          <w:ilvl w:val="0"/>
          <w:numId w:val="1035"/>
        </w:numPr>
      </w:pPr>
      <w:r>
        <w:t xml:space="preserve">Apply IPCC Tier 1 default values with correct stratification by soil type, agroecological zone, climate, and seasonality.</w:t>
      </w:r>
    </w:p>
    <w:p>
      <w:pPr>
        <w:pStyle w:val="Compact"/>
        <w:numPr>
          <w:ilvl w:val="0"/>
          <w:numId w:val="1035"/>
        </w:numPr>
      </w:pPr>
      <w:r>
        <w:t xml:space="preserve">Identify carbon crediting opportunities through improved land management scenarios</w:t>
      </w:r>
    </w:p>
    <w:p>
      <w:pPr>
        <w:pStyle w:val="Compact"/>
        <w:numPr>
          <w:ilvl w:val="0"/>
          <w:numId w:val="1035"/>
        </w:numPr>
      </w:pPr>
      <w:r>
        <w:t xml:space="preserve">Calculate soil organic carbon (SOC) and above-ground biomass (AGB) changes using standardized equations</w:t>
      </w:r>
    </w:p>
    <w:p>
      <w:pPr>
        <w:pStyle w:val="Compact"/>
        <w:numPr>
          <w:ilvl w:val="0"/>
          <w:numId w:val="1035"/>
        </w:numPr>
      </w:pPr>
      <w:r>
        <w:t xml:space="preserve">Implement safeguards against double-counting throughout all temporal and spatial domains.**</w:t>
      </w:r>
    </w:p>
    <w:bookmarkEnd w:id="96"/>
    <w:bookmarkStart w:id="99"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6"/>
        </w:numPr>
      </w:pPr>
      <w:r>
        <w:t xml:space="preserve">20-year SOC transition period: Replaces instantaneous oxidation assumptions, enabling credit streams over project duration</w:t>
      </w:r>
    </w:p>
    <w:p>
      <w:pPr>
        <w:pStyle w:val="Compact"/>
        <w:numPr>
          <w:ilvl w:val="0"/>
          <w:numId w:val="1036"/>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6"/>
        </w:numPr>
      </w:pPr>
      <w:r>
        <w:t xml:space="preserve">Expanded agroforestry parameterization: System-specific growth rates (G = 2.37-6.24 tC/ha/yr) differentiate silvopasture, silvoarable, and multistrata systems</w:t>
      </w:r>
    </w:p>
    <w:p>
      <w:pPr>
        <w:pStyle w:val="Compact"/>
        <w:numPr>
          <w:ilvl w:val="0"/>
          <w:numId w:val="1036"/>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7"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7"/>
    <w:bookmarkStart w:id="98"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8"/>
    <w:bookmarkEnd w:id="99"/>
    <w:bookmarkStart w:id="107" w:name="belowground-stock-change"/>
    <w:p>
      <w:pPr>
        <w:pStyle w:val="Heading2"/>
      </w:pPr>
      <w:r>
        <w:t xml:space="preserve">2.2 Belowground Stock Change</w:t>
      </w:r>
    </w:p>
    <w:bookmarkStart w:id="100"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7"/>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7"/>
        </w:numPr>
      </w:pPr>
      <w:r>
        <w:t xml:space="preserve">SOC₀ = Soil organic C stock in final year of transition period (tonnes C/ha)</w:t>
      </w:r>
    </w:p>
    <w:p>
      <w:pPr>
        <w:pStyle w:val="Compact"/>
        <w:numPr>
          <w:ilvl w:val="0"/>
          <w:numId w:val="1037"/>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7"/>
        </w:numPr>
      </w:pPr>
      <w:r>
        <w:t xml:space="preserve">D = Time dependence of stock change factors (default: 20 years)</w:t>
      </w:r>
    </w:p>
    <w:p>
      <w:pPr>
        <w:pStyle w:val="Compact"/>
        <w:numPr>
          <w:ilvl w:val="0"/>
          <w:numId w:val="1037"/>
        </w:numPr>
      </w:pPr>
      <w:r>
        <w:t xml:space="preserve">Area = Land area of stratum (hectares)</w:t>
      </w:r>
    </w:p>
    <w:bookmarkEnd w:id="100"/>
    <w:bookmarkStart w:id="106"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8"/>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8"/>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8"/>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8"/>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warning.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39"/>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39"/>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39"/>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0"/>
              </w:numPr>
            </w:pPr>
            <w:r>
              <w:t xml:space="preserve">“Average SOC stocks to 30 cm presented here are lower than those listed in the 2006 IPCC Guidelines.</w:t>
            </w:r>
          </w:p>
          <w:p>
            <w:pPr>
              <w:pStyle w:val="Compact"/>
              <w:numPr>
                <w:ilvl w:val="0"/>
                <w:numId w:val="1040"/>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0"/>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1"/>
              </w:numPr>
            </w:pPr>
            <w:r>
              <w:t xml:space="preserve">German Alps forest soils (Wiesmeier et al., 2014): Mean = 10.9 kg C/m², Median = 7.2 kg C/m² (34% difference)</w:t>
            </w:r>
          </w:p>
          <w:p>
            <w:pPr>
              <w:pStyle w:val="Compact"/>
              <w:numPr>
                <w:ilvl w:val="0"/>
                <w:numId w:val="1041"/>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4" w:name="south-america-bias"/>
          <w:p>
            <w:pPr>
              <w:pStyle w:val="Heading3"/>
            </w:pPr>
            <w:r>
              <w:t xml:space="preserve">South America Bias</w:t>
            </w:r>
          </w:p>
          <w:p>
            <w:pPr>
              <w:numPr>
                <w:ilvl w:val="0"/>
                <w:numId w:val="1042"/>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2"/>
              </w:numPr>
            </w:pPr>
            <w:r>
              <w:t xml:space="preserve">Regional Sampling Gaps:</w:t>
            </w:r>
          </w:p>
          <w:p>
            <w:pPr>
              <w:pStyle w:val="Compact"/>
              <w:numPr>
                <w:ilvl w:val="1"/>
                <w:numId w:val="1043"/>
              </w:numPr>
            </w:pPr>
            <w:r>
              <w:t xml:space="preserve">High-Andean páramo: &lt;50 profiles in WISE database</w:t>
            </w:r>
          </w:p>
          <w:p>
            <w:pPr>
              <w:pStyle w:val="Compact"/>
              <w:numPr>
                <w:ilvl w:val="1"/>
                <w:numId w:val="1043"/>
              </w:numPr>
            </w:pPr>
            <w:r>
              <w:t xml:space="preserve">Patagonian steppe: Underrepresented relative to area</w:t>
            </w:r>
          </w:p>
          <w:p>
            <w:pPr>
              <w:pStyle w:val="Compact"/>
              <w:numPr>
                <w:ilvl w:val="1"/>
                <w:numId w:val="1043"/>
              </w:numPr>
            </w:pPr>
            <w:r>
              <w:t xml:space="preserve">Chaco dry forests: Sparse coverage, dominated by Argentine samples</w:t>
            </w:r>
          </w:p>
          <w:p>
            <w:pPr>
              <w:pStyle w:val="Compact"/>
              <w:numPr>
                <w:ilvl w:val="1"/>
                <w:numId w:val="1043"/>
              </w:numPr>
            </w:pPr>
            <w:r>
              <w:t xml:space="preserve">Amazon deep soils: Most profiles limited to 0-30cm</w:t>
            </w:r>
          </w:p>
          <w:p>
            <w:pPr>
              <w:numPr>
                <w:ilvl w:val="0"/>
                <w:numId w:val="1042"/>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2"/>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2"/>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4"/>
          <w:bookmarkStart w:id="105" w:name="refinements-status"/>
          <w:p>
            <w:pPr>
              <w:pStyle w:val="Heading3"/>
            </w:pPr>
            <w:r>
              <w:t xml:space="preserve">2019 Refinements Status</w:t>
            </w:r>
          </w:p>
          <w:p>
            <w:pPr>
              <w:pStyle w:val="FirstParagraph"/>
            </w:pPr>
            <w:r>
              <w:t xml:space="preserve">Tier 1 Improvements:</w:t>
            </w:r>
          </w:p>
          <w:p>
            <w:pPr>
              <w:pStyle w:val="Compact"/>
              <w:numPr>
                <w:ilvl w:val="0"/>
                <w:numId w:val="1044"/>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4"/>
              </w:numPr>
            </w:pPr>
            <w:r>
              <w:t xml:space="preserve">Agroforestry parameters (Cardinael et al., 2018),</w:t>
            </w:r>
          </w:p>
          <w:p>
            <w:pPr>
              <w:pStyle w:val="Compact"/>
              <w:numPr>
                <w:ilvl w:val="0"/>
                <w:numId w:val="1044"/>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5"/>
              </w:numPr>
            </w:pPr>
            <w:r>
              <w:t xml:space="preserve">SOC</w:t>
            </w:r>
            <w:r>
              <w:rPr>
                <w:vertAlign w:val="subscript"/>
              </w:rPr>
              <w:t xml:space="preserve">REF</w:t>
            </w:r>
            <w:r>
              <w:t xml:space="preserve"> </w:t>
            </w:r>
            <w:r>
              <w:t xml:space="preserve">values (still based on WISE database)</w:t>
            </w:r>
          </w:p>
          <w:p>
            <w:pPr>
              <w:pStyle w:val="Compact"/>
              <w:numPr>
                <w:ilvl w:val="0"/>
                <w:numId w:val="1045"/>
              </w:numPr>
            </w:pPr>
            <w:r>
              <w:t xml:space="preserve">Arithmetic mean approach (medians not adopted</w:t>
            </w:r>
          </w:p>
          <w:p>
            <w:pPr>
              <w:pStyle w:val="Compact"/>
              <w:numPr>
                <w:ilvl w:val="0"/>
                <w:numId w:val="1045"/>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5"/>
    <w:bookmarkEnd w:id="106"/>
    <w:bookmarkEnd w:id="107"/>
    <w:bookmarkStart w:id="115"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1"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8">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important.png" id="11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6"/>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6"/>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6"/>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1"/>
    <w:bookmarkStart w:id="114"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8">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warning.png" id="11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7"/>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7"/>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4"/>
    <w:bookmarkEnd w:id="115"/>
    <w:bookmarkStart w:id="122"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1"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quarto/share/formats/docx/tip.png" id="11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1"/>
    <w:bookmarkEnd w:id="122"/>
    <w:bookmarkStart w:id="124"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3"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3"/>
    <w:bookmarkEnd w:id="124"/>
    <w:bookmarkStart w:id="130"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5">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important.png" id="12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30"/>
    <w:bookmarkStart w:id="141" w:name="aboveground-stock-change"/>
    <w:p>
      <w:pPr>
        <w:pStyle w:val="Heading2"/>
      </w:pPr>
      <w:r>
        <w:t xml:space="preserve">2.7. Aboveground Stock Change</w:t>
      </w:r>
    </w:p>
    <w:bookmarkStart w:id="134"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3"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3"/>
    <w:bookmarkEnd w:id="134"/>
    <w:bookmarkStart w:id="137" w:name="silvopastoral-systems"/>
    <w:p>
      <w:pPr>
        <w:pStyle w:val="Heading3"/>
      </w:pPr>
      <w:r>
        <w:t xml:space="preserve">Silvopastoral Systems</w:t>
      </w:r>
    </w:p>
    <w:p>
      <w:pPr>
        <w:numPr>
          <w:ilvl w:val="0"/>
          <w:numId w:val="1048"/>
        </w:numPr>
      </w:pPr>
      <w:r>
        <w:t xml:space="preserve">Silvoarable systems offer the highest long-term carbon accumulation (7.86 tC/ha/yr), equivalent to 28.8 tCO₂e/ha/yr—ideal for jurisdictions with strong silvicultural capacity</w:t>
      </w:r>
    </w:p>
    <w:p>
      <w:pPr>
        <w:numPr>
          <w:ilvl w:val="0"/>
          <w:numId w:val="1048"/>
        </w:numPr>
      </w:pPr>
      <w:r>
        <w:t xml:space="preserve">Fallow systems have rapid accumulation rates (4.42 tC/ha/yr) but short harvest cycles (5 years)—useful for bridging short-term credit gaps but require frequent re-establishment</w:t>
      </w:r>
    </w:p>
    <w:p>
      <w:pPr>
        <w:numPr>
          <w:ilvl w:val="0"/>
          <w:numId w:val="1048"/>
        </w:numPr>
      </w:pPr>
      <w:r>
        <w:t xml:space="preserve">Multistrata coffee/cacao (3.25 tC/ha/yr) balances commodity production with carbon credits, making it economically attractive where markets exist</w:t>
      </w:r>
    </w:p>
    <w:p>
      <w:pPr>
        <w:numPr>
          <w:ilvl w:val="0"/>
          <w:numId w:val="1048"/>
        </w:numPr>
      </w:pPr>
      <w:r>
        <w:t xml:space="preserve">Below-ground accumulation adds 21-27% to total carbon gains—always include root biomass in credit calculations</w:t>
      </w:r>
    </w:p>
    <w:bookmarkStart w:id="135"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5"/>
    <w:bookmarkStart w:id="136"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6"/>
    <w:bookmarkEnd w:id="137"/>
    <w:bookmarkStart w:id="140"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Applications/quarto/share/formats/docx/important.png" id="1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40"/>
    <w:bookmarkEnd w:id="141"/>
    <w:bookmarkStart w:id="144"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important.png" id="1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4"/>
    <w:bookmarkStart w:id="152"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5"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5"/>
    <w:bookmarkStart w:id="146"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6"/>
    <w:bookmarkStart w:id="147"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7"/>
    <w:bookmarkStart w:id="148"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8"/>
    <w:bookmarkStart w:id="151"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Applications/quarto/share/formats/docx/tip.png" id="15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49"/>
              </w:numPr>
            </w:pPr>
            <w:r>
              <w:t xml:space="preserve">Portfolio approach combining both young regeneration (high annual credits) and mature forests (high stock, low leakage risk).</w:t>
            </w:r>
          </w:p>
        </w:tc>
      </w:tr>
    </w:tbl>
    <w:p>
      <w:r>
        <w:pict>
          <v:rect style="width:0;height:1.5pt" o:hralign="center" o:hrstd="t" o:hr="t"/>
        </w:pict>
      </w:r>
    </w:p>
    <w:bookmarkEnd w:id="151"/>
    <w:bookmarkEnd w:id="152"/>
    <w:bookmarkStart w:id="158" w:name="worked-examples"/>
    <w:p>
      <w:pPr>
        <w:pStyle w:val="Heading2"/>
      </w:pPr>
      <w:r>
        <w:t xml:space="preserve">2.10 Worked Examples</w:t>
      </w:r>
    </w:p>
    <w:bookmarkStart w:id="153"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0"/>
        </w:numPr>
      </w:pPr>
      <w:r>
        <w:t xml:space="preserve">Soil Type: Low Activity Clay (LAC)</w:t>
      </w:r>
    </w:p>
    <w:p>
      <w:pPr>
        <w:pStyle w:val="Compact"/>
        <w:numPr>
          <w:ilvl w:val="0"/>
          <w:numId w:val="1050"/>
        </w:numPr>
      </w:pPr>
      <w:r>
        <w:t xml:space="preserve">Climate: Tropical Moist</w:t>
      </w:r>
    </w:p>
    <w:p>
      <w:pPr>
        <w:pStyle w:val="Compact"/>
        <w:numPr>
          <w:ilvl w:val="0"/>
          <w:numId w:val="1050"/>
        </w:numPr>
      </w:pPr>
      <w:r>
        <w:t xml:space="preserve">SOC</w:t>
      </w:r>
      <w:r>
        <w:rPr>
          <w:vertAlign w:val="subscript"/>
        </w:rPr>
        <w:t xml:space="preserve">REF</w:t>
      </w:r>
      <w:r>
        <w:t xml:space="preserve">: 38 tC/ha (Table 2.7)</w:t>
      </w:r>
    </w:p>
    <w:p>
      <w:pPr>
        <w:pStyle w:val="Compact"/>
        <w:numPr>
          <w:ilvl w:val="0"/>
          <w:numId w:val="1050"/>
        </w:numPr>
      </w:pPr>
      <w:r>
        <w:t xml:space="preserve">Management: Severely degraded (F</w:t>
      </w:r>
      <w:r>
        <w:rPr>
          <w:vertAlign w:val="subscript"/>
        </w:rPr>
        <w:t xml:space="preserve">MG</w:t>
      </w:r>
      <w:r>
        <w:t xml:space="preserve"> </w:t>
      </w:r>
      <w:r>
        <w:t xml:space="preserve">= 0.70)</w:t>
      </w:r>
    </w:p>
    <w:p>
      <w:pPr>
        <w:pStyle w:val="Compact"/>
        <w:numPr>
          <w:ilvl w:val="0"/>
          <w:numId w:val="1050"/>
        </w:numPr>
      </w:pPr>
      <w:r>
        <w:t xml:space="preserve">Input Level: Nominal (F</w:t>
      </w:r>
      <w:r>
        <w:rPr>
          <w:vertAlign w:val="subscript"/>
        </w:rPr>
        <w:t xml:space="preserve">I</w:t>
      </w:r>
      <w:r>
        <w:t xml:space="preserve"> </w:t>
      </w:r>
      <w:r>
        <w:t xml:space="preserve">= 1.0)</w:t>
      </w:r>
    </w:p>
    <w:p>
      <w:pPr>
        <w:pStyle w:val="Compact"/>
        <w:numPr>
          <w:ilvl w:val="0"/>
          <w:numId w:val="1050"/>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1"/>
        </w:numPr>
      </w:pPr>
      <w:r>
        <w:t xml:space="preserve">Management: Improved tropical grassland (F</w:t>
      </w:r>
      <w:r>
        <w:rPr>
          <w:vertAlign w:val="subscript"/>
        </w:rPr>
        <w:t xml:space="preserve">MG</w:t>
      </w:r>
      <w:r>
        <w:t xml:space="preserve"> </w:t>
      </w:r>
      <w:r>
        <w:t xml:space="preserve">= 1.17)</w:t>
      </w:r>
    </w:p>
    <w:p>
      <w:pPr>
        <w:pStyle w:val="Compact"/>
        <w:numPr>
          <w:ilvl w:val="0"/>
          <w:numId w:val="1051"/>
        </w:numPr>
      </w:pPr>
      <w:r>
        <w:t xml:space="preserve">Input Level: High with manure (F</w:t>
      </w:r>
      <w:r>
        <w:rPr>
          <w:vertAlign w:val="subscript"/>
        </w:rPr>
        <w:t xml:space="preserve">I</w:t>
      </w:r>
      <w:r>
        <w:t xml:space="preserve"> </w:t>
      </w:r>
      <w:r>
        <w:t xml:space="preserve">= 1.11)</w:t>
      </w:r>
    </w:p>
    <w:p>
      <w:pPr>
        <w:pStyle w:val="Compact"/>
        <w:numPr>
          <w:ilvl w:val="0"/>
          <w:numId w:val="1051"/>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3"/>
    <w:bookmarkStart w:id="156"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2"/>
        </w:numPr>
      </w:pPr>
      <w:r>
        <w:t xml:space="preserve">Soil: LAC (SOC</w:t>
      </w:r>
      <w:r>
        <w:rPr>
          <w:vertAlign w:val="subscript"/>
        </w:rPr>
        <w:t xml:space="preserve">REF</w:t>
      </w:r>
      <w:r>
        <w:t xml:space="preserve"> </w:t>
      </w:r>
      <w:r>
        <w:t xml:space="preserve">= 38 tC/ha)</w:t>
      </w:r>
    </w:p>
    <w:p>
      <w:pPr>
        <w:pStyle w:val="Compact"/>
        <w:numPr>
          <w:ilvl w:val="0"/>
          <w:numId w:val="1052"/>
        </w:numPr>
      </w:pPr>
      <w:r>
        <w:t xml:space="preserve">Biomass: 88 t DM/ha (IPCC default for tropical moist secondary forest)</w:t>
      </w:r>
    </w:p>
    <w:p>
      <w:pPr>
        <w:pStyle w:val="Compact"/>
        <w:numPr>
          <w:ilvl w:val="0"/>
          <w:numId w:val="1052"/>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3"/>
        </w:numPr>
      </w:pPr>
      <w:r>
        <w:t xml:space="preserve">F</w:t>
      </w:r>
      <w:r>
        <w:rPr>
          <w:vertAlign w:val="subscript"/>
        </w:rPr>
        <w:t xml:space="preserve">LU</w:t>
      </w:r>
      <w:r>
        <w:t xml:space="preserve">: 0.83 (long-term cultivated)</w:t>
      </w:r>
    </w:p>
    <w:p>
      <w:pPr>
        <w:pStyle w:val="Compact"/>
        <w:numPr>
          <w:ilvl w:val="0"/>
          <w:numId w:val="1053"/>
        </w:numPr>
      </w:pPr>
      <w:r>
        <w:t xml:space="preserve">F</w:t>
      </w:r>
      <w:r>
        <w:rPr>
          <w:vertAlign w:val="subscript"/>
        </w:rPr>
        <w:t xml:space="preserve">MG</w:t>
      </w:r>
      <w:r>
        <w:t xml:space="preserve">: 1.10 (no-till)</w:t>
      </w:r>
    </w:p>
    <w:p>
      <w:pPr>
        <w:pStyle w:val="Compact"/>
        <w:numPr>
          <w:ilvl w:val="0"/>
          <w:numId w:val="1053"/>
        </w:numPr>
      </w:pPr>
      <w:r>
        <w:t xml:space="preserve">F</w:t>
      </w:r>
      <w:r>
        <w:rPr>
          <w:vertAlign w:val="subscript"/>
        </w:rPr>
        <w:t xml:space="preserve">I</w:t>
      </w:r>
      <w:r>
        <w:t xml:space="preserve">: 1.04 (high inputs, no manure)</w:t>
      </w:r>
    </w:p>
    <w:p>
      <w:pPr>
        <w:pStyle w:val="Compact"/>
        <w:numPr>
          <w:ilvl w:val="0"/>
          <w:numId w:val="1053"/>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quarto/share/formats/docx/important.png" id="15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4"/>
              </w:numPr>
            </w:pPr>
            <w:r>
              <w:t xml:space="preserve">Applying and documenting maximum conservation practices when conversion is necessary</w:t>
            </w:r>
          </w:p>
          <w:p>
            <w:pPr>
              <w:pStyle w:val="Compact"/>
              <w:numPr>
                <w:ilvl w:val="0"/>
                <w:numId w:val="1054"/>
              </w:numPr>
            </w:pPr>
            <w:r>
              <w:t xml:space="preserve">Prioritizing conversion of already-degraded lands rather than forest</w:t>
            </w:r>
          </w:p>
        </w:tc>
      </w:tr>
    </w:tbl>
    <w:bookmarkEnd w:id="156"/>
    <w:bookmarkStart w:id="157"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5"/>
        </w:numPr>
      </w:pPr>
      <w:r>
        <w:t xml:space="preserve">High baseline threat of avoided deforestation scenario</w:t>
      </w:r>
    </w:p>
    <w:p>
      <w:pPr>
        <w:pStyle w:val="Compact"/>
        <w:numPr>
          <w:ilvl w:val="0"/>
          <w:numId w:val="1055"/>
        </w:numPr>
      </w:pPr>
      <w:r>
        <w:t xml:space="preserve">Continued rapid growth rate of protected land at 5.9 t DM/ha/yr.</w:t>
      </w:r>
    </w:p>
    <w:p>
      <w:pPr>
        <w:pStyle w:val="Compact"/>
        <w:numPr>
          <w:ilvl w:val="0"/>
          <w:numId w:val="1055"/>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7"/>
    <w:bookmarkEnd w:id="158"/>
    <w:bookmarkStart w:id="166" w:name="double-counting-risks"/>
    <w:p>
      <w:pPr>
        <w:pStyle w:val="Heading2"/>
      </w:pPr>
      <w:r>
        <w:t xml:space="preserve">2.11 Double-Counting Risks</w:t>
      </w:r>
    </w:p>
    <w:bookmarkStart w:id="161" w:name="double-counting-soc-timelines"/>
    <w:p>
      <w:pPr>
        <w:pStyle w:val="Heading3"/>
      </w:pPr>
      <w:r>
        <w:t xml:space="preserve">Double-Counting SOC Timelines</w:t>
      </w:r>
    </w:p>
    <w:p>
      <w:pPr>
        <w:pStyle w:val="Compact"/>
        <w:numPr>
          <w:ilvl w:val="0"/>
          <w:numId w:val="1056"/>
        </w:numPr>
      </w:pPr>
      <w:r>
        <w:t xml:space="preserve">Problem: Legacy emissions from historical land conversion overlap with new management activity credits</w:t>
      </w:r>
    </w:p>
    <w:p>
      <w:pPr>
        <w:pStyle w:val="Compact"/>
        <w:numPr>
          <w:ilvl w:val="0"/>
          <w:numId w:val="1056"/>
        </w:numPr>
      </w:pPr>
      <w:r>
        <w:t xml:space="preserve">Rule: Each hectare reports in only one land category per reporting year</w:t>
      </w:r>
    </w:p>
    <w:p>
      <w:pPr>
        <w:pStyle w:val="FirstParagraph"/>
      </w:pPr>
      <w:r>
        <w:t xml:space="preserve">Safeguards:</w:t>
      </w:r>
    </w:p>
    <w:p>
      <w:pPr>
        <w:pStyle w:val="Compact"/>
        <w:numPr>
          <w:ilvl w:val="0"/>
          <w:numId w:val="1057"/>
        </w:numPr>
      </w:pPr>
      <w:r>
        <w:t xml:space="preserve">One Category Per Year: During 20-year SOC transition period, attribute ALL stock changes to the end-use land category, not the category of origin</w:t>
      </w:r>
    </w:p>
    <w:p>
      <w:pPr>
        <w:pStyle w:val="Compact"/>
        <w:numPr>
          <w:ilvl w:val="0"/>
          <w:numId w:val="1057"/>
        </w:numPr>
      </w:pPr>
      <w:r>
        <w:t xml:space="preserve">Cohort Tracking: Maintain records of conversion year for each hectare to calculate remaining transition period</w:t>
      </w:r>
    </w:p>
    <w:p>
      <w:pPr>
        <w:pStyle w:val="Compact"/>
        <w:numPr>
          <w:ilvl w:val="0"/>
          <w:numId w:val="1057"/>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Applications/quarto/share/formats/docx/warning.png" id="16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1"/>
    <w:bookmarkStart w:id="162" w:name="tracking-site-specific-timelines"/>
    <w:p>
      <w:pPr>
        <w:pStyle w:val="Heading3"/>
      </w:pPr>
      <w:r>
        <w:t xml:space="preserve">Tracking Site-Specific Timelines</w:t>
      </w:r>
    </w:p>
    <w:p>
      <w:pPr>
        <w:pStyle w:val="Compact"/>
        <w:numPr>
          <w:ilvl w:val="0"/>
          <w:numId w:val="1058"/>
        </w:numPr>
      </w:pPr>
      <w:r>
        <w:t xml:space="preserve">Problem: Claiming infinite biomass accumulation in systems with periodic harvest</w:t>
      </w:r>
    </w:p>
    <w:p>
      <w:pPr>
        <w:pStyle w:val="Compact"/>
        <w:numPr>
          <w:ilvl w:val="0"/>
          <w:numId w:val="1058"/>
        </w:numPr>
      </w:pPr>
      <w:r>
        <w:t xml:space="preserve">Rule: Agroforestry credits must account for harvest cycle and removal</w:t>
      </w:r>
    </w:p>
    <w:p>
      <w:pPr>
        <w:pStyle w:val="FirstParagraph"/>
      </w:pPr>
      <w:r>
        <w:t xml:space="preserve">Safeguards:</w:t>
      </w:r>
    </w:p>
    <w:p>
      <w:pPr>
        <w:pStyle w:val="Compact"/>
        <w:numPr>
          <w:ilvl w:val="0"/>
          <w:numId w:val="1059"/>
        </w:numPr>
      </w:pPr>
      <w:r>
        <w:t xml:space="preserve">Respect Default Harvest Cycles (Table 3.2):</w:t>
      </w:r>
    </w:p>
    <w:p>
      <w:pPr>
        <w:pStyle w:val="Compact"/>
        <w:numPr>
          <w:ilvl w:val="1"/>
          <w:numId w:val="1060"/>
        </w:numPr>
      </w:pPr>
      <w:r>
        <w:t xml:space="preserve">Tropical agroforestry: 20 years (except fallow: 5 years)</w:t>
      </w:r>
    </w:p>
    <w:p>
      <w:pPr>
        <w:pStyle w:val="Compact"/>
        <w:numPr>
          <w:ilvl w:val="1"/>
          <w:numId w:val="1060"/>
        </w:numPr>
      </w:pPr>
      <w:r>
        <w:t xml:space="preserve">Temperate agroforestry: 30 years</w:t>
      </w:r>
    </w:p>
    <w:p>
      <w:pPr>
        <w:pStyle w:val="Compact"/>
        <w:numPr>
          <w:ilvl w:val="0"/>
          <w:numId w:val="1059"/>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2"/>
    <w:bookmarkStart w:id="165"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tip.png" id="16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5"/>
    <w:bookmarkEnd w:id="166"/>
    <w:bookmarkStart w:id="168" w:name="uncertainty-quantification"/>
    <w:p>
      <w:pPr>
        <w:pStyle w:val="Heading2"/>
      </w:pPr>
      <w:r>
        <w:t xml:space="preserve">2.12 Uncertainty Quantification</w:t>
      </w:r>
    </w:p>
    <w:bookmarkStart w:id="167"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7"/>
    <w:bookmarkEnd w:id="168"/>
    <w:bookmarkStart w:id="169"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9"/>
    <w:bookmarkStart w:id="170"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1"/>
        </w:numPr>
      </w:pPr>
      <w:r>
        <w:t xml:space="preserve">Verify Soil Type First: Distinguish mineral vs. organic soils before selecting accounting method—this is the most fundamental decision</w:t>
      </w:r>
    </w:p>
    <w:p>
      <w:pPr>
        <w:numPr>
          <w:ilvl w:val="0"/>
          <w:numId w:val="1061"/>
        </w:numPr>
      </w:pPr>
      <w:r>
        <w:t xml:space="preserve">Stratify Appropriately: Match climate zone, soil type, and management class to IPCC lookup tables—incorrect stratification invalidates results</w:t>
      </w:r>
    </w:p>
    <w:p>
      <w:pPr>
        <w:numPr>
          <w:ilvl w:val="0"/>
          <w:numId w:val="1061"/>
        </w:numPr>
      </w:pPr>
      <w:r>
        <w:t xml:space="preserve">Document Baseline Rigorously: Large SOC or biomass changes require strong evidence of degraded initial conditions to justify additionality</w:t>
      </w:r>
    </w:p>
    <w:p>
      <w:pPr>
        <w:numPr>
          <w:ilvl w:val="0"/>
          <w:numId w:val="1061"/>
        </w:numPr>
      </w:pPr>
      <w:r>
        <w:t xml:space="preserve">Apply Harvest Cycles: Agroforestry credits must account for periodic biomass removal—do not claim indefinite accumulation</w:t>
      </w:r>
    </w:p>
    <w:p>
      <w:pPr>
        <w:numPr>
          <w:ilvl w:val="0"/>
          <w:numId w:val="1061"/>
        </w:numPr>
      </w:pPr>
      <w:r>
        <w:t xml:space="preserve">Implement Safeguards: Prevent double-counting through temporal tracking, pool separation, and conservative interpretation of overlapping activities</w:t>
      </w:r>
    </w:p>
    <w:p>
      <w:pPr>
        <w:numPr>
          <w:ilvl w:val="0"/>
          <w:numId w:val="1061"/>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2"/>
        </w:numPr>
      </w:pPr>
      <w:r>
        <w:t xml:space="preserve">Quantified Uncertainty for each major parameter</w:t>
      </w:r>
    </w:p>
    <w:p>
      <w:pPr>
        <w:pStyle w:val="Compact"/>
        <w:numPr>
          <w:ilvl w:val="0"/>
          <w:numId w:val="1062"/>
        </w:numPr>
      </w:pPr>
      <w:r>
        <w:t xml:space="preserve">Propagated Total Uncertainty for final emission/removal estimates</w:t>
      </w:r>
    </w:p>
    <w:p>
      <w:pPr>
        <w:pStyle w:val="Compact"/>
        <w:numPr>
          <w:ilvl w:val="0"/>
          <w:numId w:val="1062"/>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70"/>
    <w:bookmarkStart w:id="171" w:name="next-steps-1"/>
    <w:p>
      <w:pPr>
        <w:pStyle w:val="Heading2"/>
      </w:pPr>
      <w:r>
        <w:t xml:space="preserve">2.15 Next Steps</w:t>
      </w:r>
    </w:p>
    <w:p>
      <w:pPr>
        <w:pStyle w:val="FirstParagraph"/>
      </w:pPr>
      <w:r>
        <w:t xml:space="preserve">Practitioners should now be prepared to:</w:t>
      </w:r>
    </w:p>
    <w:p>
      <w:pPr>
        <w:pStyle w:val="Compact"/>
        <w:numPr>
          <w:ilvl w:val="0"/>
          <w:numId w:val="1063"/>
        </w:numPr>
      </w:pPr>
      <w:r>
        <w:t xml:space="preserve">Select appropriate emission factors from IPCC 2019 Tier 1 values.</w:t>
      </w:r>
    </w:p>
    <w:p>
      <w:pPr>
        <w:pStyle w:val="Compact"/>
        <w:numPr>
          <w:ilvl w:val="0"/>
          <w:numId w:val="1063"/>
        </w:numPr>
      </w:pPr>
      <w:r>
        <w:t xml:space="preserve">Calculate SOC and biomass changes using standardized equations</w:t>
      </w:r>
    </w:p>
    <w:p>
      <w:pPr>
        <w:pStyle w:val="Compact"/>
        <w:numPr>
          <w:ilvl w:val="0"/>
          <w:numId w:val="1063"/>
        </w:numPr>
      </w:pPr>
      <w:r>
        <w:t xml:space="preserve">Identify strategic opportunities for credit generation</w:t>
      </w:r>
    </w:p>
    <w:p>
      <w:pPr>
        <w:pStyle w:val="Compact"/>
        <w:numPr>
          <w:ilvl w:val="0"/>
          <w:numId w:val="1063"/>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1"/>
    <w:bookmarkEnd w:id="172"/>
    <w:bookmarkStart w:id="303" w:name="activity-data"/>
    <w:p>
      <w:pPr>
        <w:pStyle w:val="Heading1"/>
      </w:pPr>
      <w:r>
        <w:t xml:space="preserve">3. Activity Data</w:t>
      </w:r>
    </w:p>
    <w:bookmarkStart w:id="175"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3"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which ART-TREES programs predominantly adopt due to requirements for spatially explicit monitoring, pixel-level change detection, and integration with emission factor stratification. The data cube framework and machine learning workflows demonstrated in sections 3.2-3.9 operationalize Approach 3 while providing the uncertainty quantification infrastructure required under ART-TREES Section 8. 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4"/>
        </w:numPr>
      </w:pPr>
      <w:r>
        <w:t xml:space="preserve">Data Cube Architecture: Spatiotemporal array structures for satellite time series</w:t>
      </w:r>
    </w:p>
    <w:p>
      <w:pPr>
        <w:pStyle w:val="Compact"/>
        <w:numPr>
          <w:ilvl w:val="0"/>
          <w:numId w:val="1064"/>
        </w:numPr>
      </w:pPr>
      <w:r>
        <w:t xml:space="preserve">IPCC Monitoring Approaches: Transition matrices and spatial explicitness (Approaches 1-3)</w:t>
      </w:r>
    </w:p>
    <w:p>
      <w:pPr>
        <w:pStyle w:val="Compact"/>
        <w:numPr>
          <w:ilvl w:val="0"/>
          <w:numId w:val="1064"/>
        </w:numPr>
      </w:pPr>
      <w:r>
        <w:t xml:space="preserve">Pixel-Level Uncertainty Tracking: Model residuals for spatial error mapping</w:t>
      </w:r>
    </w:p>
    <w:p>
      <w:pPr>
        <w:pStyle w:val="Compact"/>
        <w:numPr>
          <w:ilvl w:val="0"/>
          <w:numId w:val="1064"/>
        </w:numPr>
      </w:pPr>
      <w:r>
        <w:t xml:space="preserve">Random Forest Optimization: Monte Carlo calibration of classification algorithms</w:t>
      </w:r>
    </w:p>
    <w:p>
      <w:pPr>
        <w:pStyle w:val="Compact"/>
        <w:numPr>
          <w:ilvl w:val="0"/>
          <w:numId w:val="1064"/>
        </w:numPr>
      </w:pPr>
      <w:r>
        <w:t xml:space="preserve">Accuracy Assessment: Confusion matrices and validation metrics</w:t>
      </w:r>
    </w:p>
    <w:bookmarkEnd w:id="173"/>
    <w:bookmarkStart w:id="174"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4"/>
    <w:bookmarkEnd w:id="175"/>
    <w:bookmarkStart w:id="176"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5"/>
        </w:numPr>
      </w:pPr>
      <w:r>
        <w:t xml:space="preserve">Spatial dimensions: Longitude (x) and latitude (y)</w:t>
      </w:r>
    </w:p>
    <w:p>
      <w:pPr>
        <w:pStyle w:val="Compact"/>
        <w:numPr>
          <w:ilvl w:val="0"/>
          <w:numId w:val="1065"/>
        </w:numPr>
      </w:pPr>
      <w:r>
        <w:t xml:space="preserve">Temporal dimension: Observation dates (t)</w:t>
      </w:r>
    </w:p>
    <w:p>
      <w:pPr>
        <w:pStyle w:val="Compact"/>
        <w:numPr>
          <w:ilvl w:val="0"/>
          <w:numId w:val="1065"/>
        </w:numPr>
      </w:pPr>
      <w:r>
        <w:t xml:space="preserve">Spectral dimension: Sensor bands (λ)</w:t>
      </w:r>
    </w:p>
    <w:p>
      <w:pPr>
        <w:pStyle w:val="Compact"/>
        <w:numPr>
          <w:ilvl w:val="0"/>
          <w:numId w:val="1065"/>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bookmarkEnd w:id="176"/>
    <w:bookmarkStart w:id="183"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7"/>
      </w:r>
      <w:r>
        <w:t xml:space="preserve"> </w:t>
      </w:r>
      <w:r>
        <w:t xml:space="preserve">to ARD collections (</w:t>
      </w:r>
      <w:hyperlink r:id="rId178">
        <w:r>
          <w:rPr>
            <w:rStyle w:val="Hyperlink"/>
          </w:rPr>
          <w:t xml:space="preserve">Analysis-Ready-Data</w:t>
        </w:r>
      </w:hyperlink>
      <w:r>
        <w:t xml:space="preserve">) via STAC protocols (</w:t>
      </w:r>
      <w:hyperlink r:id="rId179">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7"/>
        </w:numPr>
      </w:pPr>
      <w:r>
        <w:t xml:space="preserve">Spatial harmonization: Band-specific resolutions require harmonization to common grid avoiding edge anomalies and gaps</w:t>
      </w:r>
    </w:p>
    <w:p>
      <w:pPr>
        <w:pStyle w:val="Compact"/>
        <w:numPr>
          <w:ilvl w:val="0"/>
          <w:numId w:val="1067"/>
        </w:numPr>
      </w:pPr>
      <w:r>
        <w:t xml:space="preserve">Temporal harmonization: Revisit cycles vary due to orbital geometry, platform scheduling, and atmospheric conditions</w:t>
      </w:r>
    </w:p>
    <w:p>
      <w:pPr>
        <w:pStyle w:val="Compact"/>
        <w:numPr>
          <w:ilvl w:val="0"/>
          <w:numId w:val="1067"/>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8"/>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8"/>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Applications/quarto/share/formats/docx/tip.png" id="18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69"/>
              </w:numPr>
            </w:pPr>
            <w:r>
              <w:t xml:space="preserve">Stratification: Validation samples must account for tile boundaries to avoid spatial clustering</w:t>
            </w:r>
          </w:p>
          <w:p>
            <w:pPr>
              <w:pStyle w:val="Compact"/>
              <w:numPr>
                <w:ilvl w:val="0"/>
                <w:numId w:val="1069"/>
              </w:numPr>
            </w:pPr>
            <w:r>
              <w:t xml:space="preserve">Co-registration: Cross-sensor fusion (Landsat-Sentinel) requires explicit handling of differing grid systems</w:t>
            </w:r>
          </w:p>
          <w:p>
            <w:pPr>
              <w:pStyle w:val="Compact"/>
              <w:numPr>
                <w:ilvl w:val="0"/>
                <w:numId w:val="1069"/>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82"/>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3"/>
    <w:bookmarkStart w:id="187"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5" name="Picture"/>
            <a:graphic>
              <a:graphicData uri="http://schemas.openxmlformats.org/drawingml/2006/picture">
                <pic:pic>
                  <pic:nvPicPr>
                    <pic:cNvPr descr="03-activity-data/index_files/figure-docx/unnamed-chunk-5-1.png" id="186" name="Picture"/>
                    <pic:cNvPicPr>
                      <a:picLocks noChangeArrowheads="1" noChangeAspect="1"/>
                    </pic:cNvPicPr>
                  </pic:nvPicPr>
                  <pic:blipFill>
                    <a:blip r:embed="rId184"/>
                    <a:stretch>
                      <a:fillRect/>
                    </a:stretch>
                  </pic:blipFill>
                  <pic:spPr bwMode="auto">
                    <a:xfrm>
                      <a:off x="0" y="0"/>
                      <a:ext cx="5943600" cy="4754880"/>
                    </a:xfrm>
                    <a:prstGeom prst="rect">
                      <a:avLst/>
                    </a:prstGeom>
                    <a:noFill/>
                    <a:ln w="9525">
                      <a:noFill/>
                      <a:headEnd/>
                      <a:tailEnd/>
                    </a:ln>
                  </pic:spPr>
                </pic:pic>
              </a:graphicData>
            </a:graphic>
          </wp:inline>
        </w:drawing>
      </w:r>
    </w:p>
    <w:bookmarkEnd w:id="187"/>
    <w:bookmarkStart w:id="191"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0"/>
        </w:numPr>
      </w:pPr>
      <w:r>
        <w:rPr>
          <w:rStyle w:val="VerbatimChar"/>
        </w:rPr>
        <w:t xml:space="preserve">Clear_Cut_Bare_Soil</w:t>
      </w:r>
      <w:r>
        <w:t xml:space="preserve">: Post-clearing exposed soil</w:t>
      </w:r>
    </w:p>
    <w:p>
      <w:pPr>
        <w:pStyle w:val="Compact"/>
        <w:numPr>
          <w:ilvl w:val="0"/>
          <w:numId w:val="1070"/>
        </w:numPr>
      </w:pPr>
      <w:r>
        <w:rPr>
          <w:rStyle w:val="VerbatimChar"/>
        </w:rPr>
        <w:t xml:space="preserve">Clear_Cut_Burned_Area</w:t>
      </w:r>
      <w:r>
        <w:t xml:space="preserve">: Burned clearing residues</w:t>
      </w:r>
    </w:p>
    <w:p>
      <w:pPr>
        <w:pStyle w:val="Compact"/>
        <w:numPr>
          <w:ilvl w:val="0"/>
          <w:numId w:val="1070"/>
        </w:numPr>
      </w:pPr>
      <w:r>
        <w:rPr>
          <w:rStyle w:val="VerbatimChar"/>
        </w:rPr>
        <w:t xml:space="preserve">Clear_Cut_Vegetation</w:t>
      </w:r>
      <w:r>
        <w:t xml:space="preserve">: Regrowth or residual vegetation post-harvest</w:t>
      </w:r>
    </w:p>
    <w:p>
      <w:pPr>
        <w:pStyle w:val="Compact"/>
        <w:numPr>
          <w:ilvl w:val="0"/>
          <w:numId w:val="107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9" name="Picture"/>
            <a:graphic>
              <a:graphicData uri="http://schemas.openxmlformats.org/drawingml/2006/picture">
                <pic:pic>
                  <pic:nvPicPr>
                    <pic:cNvPr descr="03-activity-data/index_files/figure-docx/unnamed-chunk-8-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r>
        <w:pict>
          <v:rect style="width:0;height:1.5pt" o:hralign="center" o:hrstd="t" o:hr="t"/>
        </w:pict>
      </w:r>
    </w:p>
    <w:bookmarkEnd w:id="191"/>
    <w:bookmarkStart w:id="195"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3" name="Picture"/>
            <a:graphic>
              <a:graphicData uri="http://schemas.openxmlformats.org/drawingml/2006/picture">
                <pic:pic>
                  <pic:nvPicPr>
                    <pic:cNvPr descr="03-activity-data/index_files/figure-docx/unnamed-chunk-9-1.png" id="194" name="Picture"/>
                    <pic:cNvPicPr>
                      <a:picLocks noChangeArrowheads="1" noChangeAspect="1"/>
                    </pic:cNvPicPr>
                  </pic:nvPicPr>
                  <pic:blipFill>
                    <a:blip r:embed="rId19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spatiotemporal features contribute most to class discrimination. For REDD+ operations, understanding feature importance supports:</w:t>
      </w:r>
    </w:p>
    <w:p>
      <w:pPr>
        <w:pStyle w:val="Compact"/>
        <w:numPr>
          <w:ilvl w:val="0"/>
          <w:numId w:val="1071"/>
        </w:numPr>
      </w:pPr>
      <w:r>
        <w:t xml:space="preserve">Uncertainty attribution: High-importance features with measurement error propagate more uncertainty</w:t>
      </w:r>
    </w:p>
    <w:p>
      <w:pPr>
        <w:pStyle w:val="Compact"/>
        <w:numPr>
          <w:ilvl w:val="0"/>
          <w:numId w:val="1071"/>
        </w:numPr>
      </w:pPr>
      <w:r>
        <w:t xml:space="preserve">Sensor planning: Identifies critical spectral bands for maintaining classification accuracy</w:t>
      </w:r>
    </w:p>
    <w:p>
      <w:pPr>
        <w:pStyle w:val="Compact"/>
        <w:numPr>
          <w:ilvl w:val="0"/>
          <w:numId w:val="1071"/>
        </w:numPr>
      </w:pPr>
      <w:r>
        <w:t xml:space="preserve">Transfer learning: Guides feature selection when adapting models to new regions</w:t>
      </w:r>
    </w:p>
    <w:p>
      <w:pPr>
        <w:pStyle w:val="Compact"/>
        <w:numPr>
          <w:ilvl w:val="0"/>
          <w:numId w:val="1071"/>
        </w:numPr>
      </w:pPr>
      <w:r>
        <w:t xml:space="preserve">Validation design: Informs stratification schemes for accuracy assessment</w:t>
      </w:r>
    </w:p>
    <w:bookmarkEnd w:id="195"/>
    <w:bookmarkStart w:id="199"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197" name="Picture"/>
            <a:graphic>
              <a:graphicData uri="http://schemas.openxmlformats.org/drawingml/2006/picture">
                <pic:pic>
                  <pic:nvPicPr>
                    <pic:cNvPr descr="03-activity-data/assets/images/png/activity-data-d.png" id="198" name="Picture"/>
                    <pic:cNvPicPr>
                      <a:picLocks noChangeArrowheads="1" noChangeAspect="1"/>
                    </pic:cNvPicPr>
                  </pic:nvPicPr>
                  <pic:blipFill>
                    <a:blip r:embed="rId196"/>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2"/>
        </w:numPr>
      </w:pPr>
      <w:r>
        <w:t xml:space="preserve">Adaptive stratification: High-uncertainty pixels receive higher validation sampling density</w:t>
      </w:r>
    </w:p>
    <w:p>
      <w:pPr>
        <w:pStyle w:val="Compact"/>
        <w:numPr>
          <w:ilvl w:val="0"/>
          <w:numId w:val="1072"/>
        </w:numPr>
      </w:pPr>
      <w:r>
        <w:t xml:space="preserve">Uncertainty propagation: Probability distributions feed Monte Carlo emission simulations</w:t>
      </w:r>
    </w:p>
    <w:p>
      <w:pPr>
        <w:pStyle w:val="Compact"/>
        <w:numPr>
          <w:ilvl w:val="0"/>
          <w:numId w:val="1072"/>
        </w:numPr>
      </w:pPr>
      <w:r>
        <w:t xml:space="preserve">Quality control: Spatial patterns of low confidence identify systematic classification errors</w:t>
      </w:r>
    </w:p>
    <w:p>
      <w:pPr>
        <w:pStyle w:val="Compact"/>
        <w:numPr>
          <w:ilvl w:val="0"/>
          <w:numId w:val="1072"/>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9"/>
    <w:bookmarkStart w:id="287"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9"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201" name="Picture"/>
            <a:graphic>
              <a:graphicData uri="http://schemas.openxmlformats.org/drawingml/2006/picture">
                <pic:pic>
                  <pic:nvPicPr>
                    <pic:cNvPr descr="03-activity-data/assets/images/png/activity-data-l1.png" id="202" name="Picture"/>
                    <pic:cNvPicPr>
                      <a:picLocks noChangeArrowheads="1" noChangeAspect="1"/>
                    </pic:cNvPicPr>
                  </pic:nvPicPr>
                  <pic:blipFill>
                    <a:blip r:embed="rId200"/>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4" name="Picture"/>
            <a:graphic>
              <a:graphicData uri="http://schemas.openxmlformats.org/drawingml/2006/picture">
                <pic:pic>
                  <pic:nvPicPr>
                    <pic:cNvPr descr="03-activity-data/index_files/figure-docx/unnamed-chunk-13-1.png" id="205"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08"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6" name="Picture"/>
                  <a:graphic>
                    <a:graphicData uri="http://schemas.openxmlformats.org/drawingml/2006/picture">
                      <pic:pic>
                        <pic:nvPicPr>
                          <pic:cNvPr descr="03-activity-data/assets/images/png/activity-data-l1.png" id="207" name="Picture"/>
                          <pic:cNvPicPr>
                            <a:picLocks noChangeArrowheads="1" noChangeAspect="1"/>
                          </pic:cNvPicPr>
                        </pic:nvPicPr>
                        <pic:blipFill>
                          <a:blip r:embed="rId200"/>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8"/>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09"/>
    <w:bookmarkStart w:id="223" w:name="hierarchical-clustering"/>
    <w:p>
      <w:pPr>
        <w:pStyle w:val="Heading3"/>
      </w:pPr>
      <w:r>
        <w:t xml:space="preserve">Hierarchical Clustering</w:t>
      </w:r>
    </w:p>
    <w:p>
      <w:pPr>
        <w:pStyle w:val="FirstParagraph"/>
      </w:pPr>
      <w:r>
        <w:t xml:space="preserve">We implement below two clustering approaches for evaluating training data quality: Agglomerative Hierarchical Clustering</w:t>
      </w:r>
      <w:r>
        <w:t xml:space="preserve"> </w:t>
      </w:r>
      <w:r>
        <w:t xml:space="preserve">(Yao et al., 2016, AHC)</w:t>
      </w:r>
      <w:r>
        <w:t xml:space="preserve"> </w:t>
      </w:r>
      <w:r>
        <w:t xml:space="preserve">for datasets under 10,000 samples, and Self-Organizing Maps (SOM) for larger collections</w:t>
      </w:r>
      <w:r>
        <w:t xml:space="preserve"> </w:t>
      </w:r>
      <w:r>
        <w:t xml:space="preserve">(Gonçalves et al., 2008; Neagoe et al., 2014)</w:t>
      </w:r>
      <w:r>
        <w:t xml:space="preserve">. AHC has computational complexity of</w:t>
      </w:r>
      <w:r>
        <w:t xml:space="preserve"> </w:t>
      </w:r>
      <m:oMath>
        <m:r>
          <m:rPr>
            <m:sty m:val="p"/>
            <m:scr m:val="script"/>
          </m:rPr>
          <m:t>O</m:t>
        </m:r>
        <m:d>
          <m:dPr>
            <m:begChr m:val="("/>
            <m:sepChr m:val=""/>
            <m:endChr m:val=")"/>
            <m:grow/>
          </m:dPr>
          <m:e>
            <m:sSup>
              <m:e>
                <m:r>
                  <m:t>n</m:t>
                </m:r>
              </m:e>
              <m:sup>
                <m:r>
                  <m:t>2</m:t>
                </m:r>
              </m:sup>
            </m:sSup>
          </m:e>
        </m:d>
      </m:oMath>
      <w:r>
        <w:t xml:space="preserve"> </w:t>
      </w:r>
      <w:r>
        <w:t xml:space="preserve">requiring substantial memory, while SOM scales linearly, making it preferable for operational REDD+ monitoring systems.</w:t>
      </w:r>
    </w:p>
    <w:p>
      <w:pPr>
        <w:pStyle w:val="BodyText"/>
      </w:pPr>
      <w:r>
        <w:t xml:space="preserve">Hierarchical Clustering computes dissimilarity between samples using dynamic time warping (DTW), which reliably measures differences in satellite time series</w:t>
      </w:r>
      <w:r>
        <w:t xml:space="preserve"> </w:t>
      </w:r>
      <w:r>
        <w:t xml:space="preserve">(Maus et al., 2019; Petitjean et al., 2012)</w:t>
      </w:r>
      <w:r>
        <w:t xml:space="preserve">. The</w:t>
      </w:r>
      <w:r>
        <w:t xml:space="preserve"> </w:t>
      </w:r>
      <w:r>
        <w:rPr>
          <w:rStyle w:val="VerbatimChar"/>
        </w:rPr>
        <w:t xml:space="preserve">sits_cluster_dendro()</w:t>
      </w:r>
      <w:r>
        <w:t xml:space="preserve"> </w:t>
      </w:r>
      <w:r>
        <w:t xml:space="preserve">function generates dendrograms that reveal sample groupings and potential mislabeling:</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11" name="Picture"/>
            <a:graphic>
              <a:graphicData uri="http://schemas.openxmlformats.org/drawingml/2006/picture">
                <pic:pic>
                  <pic:nvPicPr>
                    <pic:cNvPr descr="03-activity-data/assets/images/png/activity-data-g.png" id="212" name="Picture"/>
                    <pic:cNvPicPr>
                      <a:picLocks noChangeArrowheads="1" noChangeAspect="1"/>
                    </pic:cNvPicPr>
                  </pic:nvPicPr>
                  <pic:blipFill>
                    <a:blip r:embed="rId210"/>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The adjusted rand index (ARI) identifies optimal cluster count</w:t>
      </w:r>
      <w:r>
        <w:t xml:space="preserve"> </w:t>
      </w:r>
      <w:r>
        <w:t xml:space="preserve">(Rand, 1971)</w:t>
      </w:r>
      <w:r>
        <w:t xml:space="preserve">. Clusters with mixed labels indicate either:</w:t>
      </w:r>
    </w:p>
    <w:p>
      <w:pPr>
        <w:pStyle w:val="Compact"/>
        <w:numPr>
          <w:ilvl w:val="0"/>
          <w:numId w:val="1073"/>
        </w:numPr>
      </w:pPr>
      <w:r>
        <w:t xml:space="preserve">mislabeled samples requiring removal,</w:t>
      </w:r>
    </w:p>
    <w:p>
      <w:pPr>
        <w:pStyle w:val="Compact"/>
        <w:numPr>
          <w:ilvl w:val="0"/>
          <w:numId w:val="1073"/>
        </w:numPr>
      </w:pPr>
      <w:r>
        <w:t xml:space="preserve">spectral confusion between classes,</w:t>
      </w:r>
    </w:p>
    <w:p>
      <w:pPr>
        <w:pStyle w:val="Compact"/>
        <w:numPr>
          <w:ilvl w:val="0"/>
          <w:numId w:val="1073"/>
        </w:numPr>
      </w:pPr>
      <w:r>
        <w:t xml:space="preserve">natural variability in land cover signatures. s</w:t>
      </w:r>
    </w:p>
    <w:p>
      <w:pPr>
        <w:pStyle w:val="FirstParagraph"/>
      </w:pPr>
      <w:r>
        <w:t xml:space="preserve">The</w:t>
      </w:r>
      <w:r>
        <w:t xml:space="preserve"> </w:t>
      </w:r>
      <w:r>
        <w:rPr>
          <w:rStyle w:val="VerbatimChar"/>
        </w:rPr>
        <w:t xml:space="preserve">sits_cluster_clean()</w:t>
      </w:r>
      <w:r>
        <w:t xml:space="preserve"> </w:t>
      </w:r>
      <w:r>
        <w:t xml:space="preserve">function removes minority labels within clusters, retaining only dominant classes to reduce training noise.</w:t>
      </w:r>
    </w:p>
    <w:p>
      <w:pPr>
        <w:pStyle w:val="BodyText"/>
      </w:pPr>
      <w:r>
        <w:t xml:space="preserve">Self-Organizing Maps provide efficient quality assessment for large datasets through unsupervised learning that projects high-dimensional time series onto 2D grids. The</w:t>
      </w:r>
      <w:r>
        <w:t xml:space="preserve"> </w:t>
      </w:r>
      <w:r>
        <w:rPr>
          <w:rStyle w:val="VerbatimChar"/>
        </w:rPr>
        <w:t xml:space="preserve">sits_som_map()</w:t>
      </w:r>
      <w:r>
        <w:t xml:space="preserve"> </w:t>
      </w:r>
      <w:r>
        <w:t xml:space="preserve">function identifies outliers and evaluates class separability:</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17" w:name="fig-som-a"/>
                <w:p>
                  <w:pPr>
                    <w:pStyle w:val="Compact"/>
                    <w:jc w:val="center"/>
                    <w:jc w:val="left"/>
                  </w:pPr>
                  <w:bookmarkStart w:id="216" w:name="fig-som-a"/>
                  <w:r>
                    <w:drawing>
                      <wp:inline>
                        <wp:extent cx="5943600" cy="5057146"/>
                        <wp:effectExtent b="0" l="0" r="0" t="0"/>
                        <wp:docPr descr="" title="" id="214" name="Picture"/>
                        <a:graphic>
                          <a:graphicData uri="http://schemas.openxmlformats.org/drawingml/2006/picture">
                            <pic:pic>
                              <pic:nvPicPr>
                                <pic:cNvPr descr="03-activity-data/assets/images/png/activity-data-h1.png" id="215" name="Picture"/>
                                <pic:cNvPicPr>
                                  <a:picLocks noChangeArrowheads="1" noChangeAspect="1"/>
                                </pic:cNvPicPr>
                              </pic:nvPicPr>
                              <pic:blipFill>
                                <a:blip r:embed="rId213"/>
                                <a:stretch>
                                  <a:fillRect/>
                                </a:stretch>
                              </pic:blipFill>
                              <pic:spPr bwMode="auto">
                                <a:xfrm>
                                  <a:off x="0" y="0"/>
                                  <a:ext cx="5943600" cy="5057146"/>
                                </a:xfrm>
                                <a:prstGeom prst="rect">
                                  <a:avLst/>
                                </a:prstGeom>
                                <a:noFill/>
                                <a:ln w="9525">
                                  <a:noFill/>
                                  <a:headEnd/>
                                  <a:tailEnd/>
                                </a:ln>
                              </pic:spPr>
                            </pic:pic>
                          </a:graphicData>
                        </a:graphic>
                      </wp:inline>
                    </w:drawing>
                  </w:r>
                  <w:bookmarkEnd w:id="216"/>
                </w:p>
                <w:p>
                  <w:pPr>
                    <w:jc w:val="center"/>
                    <w:jc w:val="left"/>
                  </w:pPr>
                  <w:pPr>
                    <w:jc w:val="start"/>
                    <w:spacing w:before="200"/>
                    <w:pStyle w:val="ImageCaption"/>
                  </w:pPr>
                  <w:r>
                    <w:t xml:space="preserve">Figure 3.2</w:t>
                  </w:r>
                </w:p>
                <w:bookmarkEnd w:id="217"/>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2" w:name="fig-som-freq"/>
                <w:p>
                  <w:pPr>
                    <w:pStyle w:val="Compact"/>
                    <w:jc w:val="center"/>
                    <w:jc w:val="left"/>
                  </w:pPr>
                  <w:bookmarkStart w:id="221" w:name="fig-som-freq"/>
                  <w:r>
                    <w:drawing>
                      <wp:inline>
                        <wp:extent cx="5943600" cy="4782364"/>
                        <wp:effectExtent b="0" l="0" r="0" t="0"/>
                        <wp:docPr descr="" title="" id="219" name="Picture"/>
                        <a:graphic>
                          <a:graphicData uri="http://schemas.openxmlformats.org/drawingml/2006/picture">
                            <pic:pic>
                              <pic:nvPicPr>
                                <pic:cNvPr descr="03-activity-data/assets/images/png/activity-data-h2.png" id="220" name="Picture"/>
                                <pic:cNvPicPr>
                                  <a:picLocks noChangeArrowheads="1" noChangeAspect="1"/>
                                </pic:cNvPicPr>
                              </pic:nvPicPr>
                              <pic:blipFill>
                                <a:blip r:embed="rId218"/>
                                <a:stretch>
                                  <a:fillRect/>
                                </a:stretch>
                              </pic:blipFill>
                              <pic:spPr bwMode="auto">
                                <a:xfrm>
                                  <a:off x="0" y="0"/>
                                  <a:ext cx="5943600" cy="4782364"/>
                                </a:xfrm>
                                <a:prstGeom prst="rect">
                                  <a:avLst/>
                                </a:prstGeom>
                                <a:noFill/>
                                <a:ln w="9525">
                                  <a:noFill/>
                                  <a:headEnd/>
                                  <a:tailEnd/>
                                </a:ln>
                              </pic:spPr>
                            </pic:pic>
                          </a:graphicData>
                        </a:graphic>
                      </wp:inline>
                    </w:drawing>
                  </w:r>
                  <w:bookmarkEnd w:id="221"/>
                </w:p>
                <w:p>
                  <w:pPr>
                    <w:jc w:val="center"/>
                    <w:jc w:val="left"/>
                  </w:pPr>
                  <w:pPr>
                    <w:jc w:val="start"/>
                    <w:spacing w:before="200"/>
                    <w:pStyle w:val="ImageCaption"/>
                  </w:pPr>
                  <w:r>
                    <w:t xml:space="preserve">Figure 3.3</w:t>
                  </w:r>
                </w:p>
                <w:bookmarkEnd w:id="222"/>
              </w:tc>
            </w:tr>
          </w:tbl>
          <w:p/>
        </w:tc>
      </w:tr>
    </w:tbl>
    <w:p>
      <w:pPr>
        <w:pStyle w:val="BodyText"/>
      </w:pPr>
      <w:r>
        <w:t xml:space="preserve">Neurons containing multiple classes reveal spectral overlap requiring investigation. The SOM-based cleaning removes samples from mixed neurons, improving class separability while preserving within-class variability essential for generalization.</w:t>
      </w:r>
    </w:p>
    <w:bookmarkEnd w:id="223"/>
    <w:bookmarkStart w:id="233" w:name="class-imbalances"/>
    <w:p>
      <w:pPr>
        <w:pStyle w:val="Heading3"/>
      </w:pPr>
      <w:r>
        <w:t xml:space="preserve">Class Imbalances</w:t>
      </w:r>
    </w:p>
    <w:p>
      <w:pPr>
        <w:pStyle w:val="FirstParagraph"/>
      </w:pPr>
      <w:r>
        <w:t xml:space="preserve">Imbalanced training sets—where some classes have many more samples than others—bias classifiers toward over-represented classes, inflating omission errors for rare forest types. The</w:t>
      </w:r>
      <w:r>
        <w:t xml:space="preserve"> </w:t>
      </w:r>
      <w:r>
        <w:rPr>
          <w:rStyle w:val="VerbatimChar"/>
        </w:rPr>
        <w:t xml:space="preserve">sits_reduce_imbalance()</w:t>
      </w:r>
      <w:r>
        <w:t xml:space="preserve"> </w:t>
      </w:r>
      <w:r>
        <w:t xml:space="preserve">function implements under-sampling and over-sampling strategies: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8" w:name="fig-som-b"/>
                <w:p>
                  <w:pPr>
                    <w:pStyle w:val="Compact"/>
                    <w:jc w:val="center"/>
                    <w:jc w:val="left"/>
                  </w:pPr>
                  <w:bookmarkStart w:id="227" w:name="fig-som-b"/>
                  <w:r>
                    <w:drawing>
                      <wp:inline>
                        <wp:extent cx="5943600" cy="5063336"/>
                        <wp:effectExtent b="0" l="0" r="0" t="0"/>
                        <wp:docPr descr="" title="" id="225" name="Picture"/>
                        <a:graphic>
                          <a:graphicData uri="http://schemas.openxmlformats.org/drawingml/2006/picture">
                            <pic:pic>
                              <pic:nvPicPr>
                                <pic:cNvPr descr="03-activity-data/assets/images/png/activity-data-i1.png" id="226" name="Picture"/>
                                <pic:cNvPicPr>
                                  <a:picLocks noChangeArrowheads="1" noChangeAspect="1"/>
                                </pic:cNvPicPr>
                              </pic:nvPicPr>
                              <pic:blipFill>
                                <a:blip r:embed="rId224"/>
                                <a:stretch>
                                  <a:fillRect/>
                                </a:stretch>
                              </pic:blipFill>
                              <pic:spPr bwMode="auto">
                                <a:xfrm>
                                  <a:off x="0" y="0"/>
                                  <a:ext cx="5943600" cy="5063336"/>
                                </a:xfrm>
                                <a:prstGeom prst="rect">
                                  <a:avLst/>
                                </a:prstGeom>
                                <a:noFill/>
                                <a:ln w="9525">
                                  <a:noFill/>
                                  <a:headEnd/>
                                  <a:tailEnd/>
                                </a:ln>
                              </pic:spPr>
                            </pic:pic>
                          </a:graphicData>
                        </a:graphic>
                      </wp:inline>
                    </w:drawing>
                  </w:r>
                  <w:bookmarkEnd w:id="227"/>
                </w:p>
                <w:p>
                  <w:pPr>
                    <w:jc w:val="center"/>
                    <w:jc w:val="left"/>
                  </w:pPr>
                  <w:pPr>
                    <w:jc w:val="start"/>
                    <w:spacing w:before="200"/>
                    <w:pStyle w:val="ImageCaption"/>
                  </w:pPr>
                  <w:r>
                    <w:t xml:space="preserve">Figure 3.4</w:t>
                  </w:r>
                </w:p>
                <w:bookmarkEnd w:id="228"/>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2" w:name="fig-som-c"/>
                <w:p>
                  <w:pPr>
                    <w:pStyle w:val="Compact"/>
                    <w:jc w:val="center"/>
                    <w:jc w:val="left"/>
                  </w:pPr>
                  <w:bookmarkStart w:id="231" w:name="fig-som-c"/>
                  <w:r>
                    <w:drawing>
                      <wp:inline>
                        <wp:extent cx="5943600" cy="5057146"/>
                        <wp:effectExtent b="0" l="0" r="0" t="0"/>
                        <wp:docPr descr="" title="" id="229" name="Picture"/>
                        <a:graphic>
                          <a:graphicData uri="http://schemas.openxmlformats.org/drawingml/2006/picture">
                            <pic:pic>
                              <pic:nvPicPr>
                                <pic:cNvPr descr="03-activity-data/assets/images/png/activity-data-h1.png" id="230" name="Picture"/>
                                <pic:cNvPicPr>
                                  <a:picLocks noChangeArrowheads="1" noChangeAspect="1"/>
                                </pic:cNvPicPr>
                              </pic:nvPicPr>
                              <pic:blipFill>
                                <a:blip r:embed="rId213"/>
                                <a:stretch>
                                  <a:fillRect/>
                                </a:stretch>
                              </pic:blipFill>
                              <pic:spPr bwMode="auto">
                                <a:xfrm>
                                  <a:off x="0" y="0"/>
                                  <a:ext cx="5943600" cy="5057146"/>
                                </a:xfrm>
                                <a:prstGeom prst="rect">
                                  <a:avLst/>
                                </a:prstGeom>
                                <a:noFill/>
                                <a:ln w="9525">
                                  <a:noFill/>
                                  <a:headEnd/>
                                  <a:tailEnd/>
                                </a:ln>
                              </pic:spPr>
                            </pic:pic>
                          </a:graphicData>
                        </a:graphic>
                      </wp:inline>
                    </w:drawing>
                  </w:r>
                  <w:bookmarkEnd w:id="231"/>
                </w:p>
                <w:p>
                  <w:pPr>
                    <w:jc w:val="center"/>
                    <w:jc w:val="left"/>
                  </w:pPr>
                  <w:pPr>
                    <w:jc w:val="start"/>
                    <w:spacing w:before="200"/>
                    <w:pStyle w:val="ImageCaption"/>
                  </w:pPr>
                  <w:r>
                    <w:t xml:space="preserve">Figure 3.5</w:t>
                  </w:r>
                </w:p>
                <w:bookmarkEnd w:id="232"/>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p>
      <w:pPr>
        <w:pStyle w:val="FirstParagraph"/>
      </w:pPr>
      <w:r>
        <w:t xml:space="preserve">Under-sampling randomly removes samples from majority classes to match minority class frequencies, reducing computational load but discarding potentially informative data. Over-sampling uses SMOTE [Synthetic Minority Over-sampling Technique;</w:t>
      </w:r>
      <w:r>
        <w:t xml:space="preserve"> </w:t>
      </w:r>
      <w:r>
        <w:t xml:space="preserve">Siriseriwan (2024)</w:t>
      </w:r>
      <w:r>
        <w:t xml:space="preserve">;</w:t>
      </w:r>
      <w:r>
        <w:t xml:space="preserve"> </w:t>
      </w:r>
      <w:r>
        <w:t xml:space="preserve">Torgo (2010)</w:t>
      </w:r>
      <w:r>
        <w:t xml:space="preserve">] to generate synthetic samples for rare classes, improving classifier sensitivity without losing real observations. For REDD+ applications, maintaining adequate representation of degraded forest classes often requires combined strategies.</w:t>
      </w:r>
    </w:p>
    <w:bookmarkEnd w:id="233"/>
    <w:bookmarkStart w:id="237" w:name="geographic-variance"/>
    <w:p>
      <w:pPr>
        <w:pStyle w:val="Heading3"/>
      </w:pPr>
      <w:r>
        <w:t xml:space="preserve">Geographic Variance</w:t>
      </w:r>
    </w:p>
    <w:p>
      <w:pPr>
        <w:pStyle w:val="FirstParagraph"/>
      </w:pPr>
      <w:r>
        <w:t xml:space="preserve">Training samples must capture spatial variability across jurisdictions. Clustered sampling creates geographic gaps where model predictions have higher uncertainty</w:t>
      </w:r>
      <w:r>
        <w:t xml:space="preserve"> </w:t>
      </w:r>
      <w:r>
        <w:t xml:space="preserve">(Meyer &amp; Pebesma, 2022)</w:t>
      </w:r>
      <w:r>
        <w:t xml:space="preserve">. The</w:t>
      </w:r>
      <w:r>
        <w:t xml:space="preserve"> </w:t>
      </w:r>
      <w:r>
        <w:rPr>
          <w:rStyle w:val="VerbatimChar"/>
        </w:rPr>
        <w:t xml:space="preserve">sits_geo_dist()</w:t>
      </w:r>
      <w:r>
        <w:t xml:space="preserve"> </w:t>
      </w:r>
      <w:r>
        <w:t xml:space="preserve">function compares sample-to-sample distances against prediction-location-to-sample distances:</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5" name="Picture"/>
            <a:graphic>
              <a:graphicData uri="http://schemas.openxmlformats.org/drawingml/2006/picture">
                <pic:pic>
                  <pic:nvPicPr>
                    <pic:cNvPr descr="03-activity-data/assets/images/png/activity-data-j.png" id="236" name="Picture"/>
                    <pic:cNvPicPr>
                      <a:picLocks noChangeArrowheads="1" noChangeAspect="1"/>
                    </pic:cNvPicPr>
                  </pic:nvPicPr>
                  <pic:blipFill>
                    <a:blip r:embed="rId234"/>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37"/>
    <w:bookmarkStart w:id="286" w:name="noise-filtering"/>
    <w:p>
      <w:pPr>
        <w:pStyle w:val="Heading3"/>
      </w:pPr>
      <w:r>
        <w:t xml:space="preserve">Noise Filtering</w:t>
      </w:r>
    </w:p>
    <w:p>
      <w:pPr>
        <w:pStyle w:val="FirstParagraph"/>
      </w:pPr>
      <w:r>
        <w:t xml:space="preserve">Atmospheric contamination and sensor artifacts introduce noise requiring smoothing before feature extraction. The package supports Savitzky-Golay (</w:t>
      </w:r>
      <w:r>
        <w:rPr>
          <w:rStyle w:val="VerbatimChar"/>
        </w:rPr>
        <w:t xml:space="preserve">sits_sgolay()</w:t>
      </w:r>
      <w:r>
        <w:t xml:space="preserve">) and Whittaker (</w:t>
      </w:r>
      <w:r>
        <w:rPr>
          <w:rStyle w:val="VerbatimChar"/>
        </w:rPr>
        <w:t xml:space="preserve">sits_whittaker()</w:t>
      </w:r>
      <w:r>
        <w:t xml:space="preserve">) filters. Both methods reduce noise while preserving phenological patterns:</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39" name="Picture"/>
                  <a:graphic>
                    <a:graphicData uri="http://schemas.openxmlformats.org/drawingml/2006/picture">
                      <pic:pic>
                        <pic:nvPicPr>
                          <pic:cNvPr descr="03-activity-data/assets/images/png/activity-data-k1a.png" id="240" name="Picture"/>
                          <pic:cNvPicPr>
                            <a:picLocks noChangeArrowheads="1" noChangeAspect="1"/>
                          </pic:cNvPicPr>
                        </pic:nvPicPr>
                        <pic:blipFill>
                          <a:blip r:embed="rId23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2" name="Picture"/>
                  <a:graphic>
                    <a:graphicData uri="http://schemas.openxmlformats.org/drawingml/2006/picture">
                      <pic:pic>
                        <pic:nvPicPr>
                          <pic:cNvPr descr="03-activity-data/assets/images/png/activity-data-k1b.png" id="243" name="Picture"/>
                          <pic:cNvPicPr>
                            <a:picLocks noChangeArrowheads="1" noChangeAspect="1"/>
                          </pic:cNvPicPr>
                        </pic:nvPicPr>
                        <pic:blipFill>
                          <a:blip r:embed="rId24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5" name="Picture"/>
                  <a:graphic>
                    <a:graphicData uri="http://schemas.openxmlformats.org/drawingml/2006/picture">
                      <pic:pic>
                        <pic:nvPicPr>
                          <pic:cNvPr descr="03-activity-data/assets/images/png/activity-data-k2a.png" id="246" name="Picture"/>
                          <pic:cNvPicPr>
                            <a:picLocks noChangeArrowheads="1" noChangeAspect="1"/>
                          </pic:cNvPicPr>
                        </pic:nvPicPr>
                        <pic:blipFill>
                          <a:blip r:embed="rId24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8" name="Picture"/>
                  <a:graphic>
                    <a:graphicData uri="http://schemas.openxmlformats.org/drawingml/2006/picture">
                      <pic:pic>
                        <pic:nvPicPr>
                          <pic:cNvPr descr="03-activity-data/assets/images/png/activity-data-k2b.png" id="249" name="Picture"/>
                          <pic:cNvPicPr>
                            <a:picLocks noChangeArrowheads="1" noChangeAspect="1"/>
                          </pic:cNvPicPr>
                        </pic:nvPicPr>
                        <pic:blipFill>
                          <a:blip r:embed="rId247"/>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1" name="Picture"/>
                  <a:graphic>
                    <a:graphicData uri="http://schemas.openxmlformats.org/drawingml/2006/picture">
                      <pic:pic>
                        <pic:nvPicPr>
                          <pic:cNvPr descr="03-activity-data/assets/images/png/activity-data-k3a.png" id="252" name="Picture"/>
                          <pic:cNvPicPr>
                            <a:picLocks noChangeArrowheads="1" noChangeAspect="1"/>
                          </pic:cNvPicPr>
                        </pic:nvPicPr>
                        <pic:blipFill>
                          <a:blip r:embed="rId25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4" name="Picture"/>
                  <a:graphic>
                    <a:graphicData uri="http://schemas.openxmlformats.org/drawingml/2006/picture">
                      <pic:pic>
                        <pic:nvPicPr>
                          <pic:cNvPr descr="03-activity-data/assets/images/png/activity-data-k3b.png" id="255" name="Picture"/>
                          <pic:cNvPicPr>
                            <a:picLocks noChangeArrowheads="1" noChangeAspect="1"/>
                          </pic:cNvPicPr>
                        </pic:nvPicPr>
                        <pic:blipFill>
                          <a:blip r:embed="rId25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7" name="Picture"/>
                  <a:graphic>
                    <a:graphicData uri="http://schemas.openxmlformats.org/drawingml/2006/picture">
                      <pic:pic>
                        <pic:nvPicPr>
                          <pic:cNvPr descr="03-activity-data/assets/images/png/activity-data-k4a.png" id="258" name="Picture"/>
                          <pic:cNvPicPr>
                            <a:picLocks noChangeArrowheads="1" noChangeAspect="1"/>
                          </pic:cNvPicPr>
                        </pic:nvPicPr>
                        <pic:blipFill>
                          <a:blip r:embed="rId25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0" name="Picture"/>
                  <a:graphic>
                    <a:graphicData uri="http://schemas.openxmlformats.org/drawingml/2006/picture">
                      <pic:pic>
                        <pic:nvPicPr>
                          <pic:cNvPr descr="03-activity-data/assets/images/png/activity-data-k4b.png" id="261" name="Picture"/>
                          <pic:cNvPicPr>
                            <a:picLocks noChangeArrowheads="1" noChangeAspect="1"/>
                          </pic:cNvPicPr>
                        </pic:nvPicPr>
                        <pic:blipFill>
                          <a:blip r:embed="rId259"/>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3" name="Picture"/>
                  <a:graphic>
                    <a:graphicData uri="http://schemas.openxmlformats.org/drawingml/2006/picture">
                      <pic:pic>
                        <pic:nvPicPr>
                          <pic:cNvPr descr="03-activity-data/assets/images/png/activity-data-k5a.png" id="264" name="Picture"/>
                          <pic:cNvPicPr>
                            <a:picLocks noChangeArrowheads="1" noChangeAspect="1"/>
                          </pic:cNvPicPr>
                        </pic:nvPicPr>
                        <pic:blipFill>
                          <a:blip r:embed="rId26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6" name="Picture"/>
                  <a:graphic>
                    <a:graphicData uri="http://schemas.openxmlformats.org/drawingml/2006/picture">
                      <pic:pic>
                        <pic:nvPicPr>
                          <pic:cNvPr descr="03-activity-data/assets/images/png/activity-data-k5b.png" id="267" name="Picture"/>
                          <pic:cNvPicPr>
                            <a:picLocks noChangeArrowheads="1" noChangeAspect="1"/>
                          </pic:cNvPicPr>
                        </pic:nvPicPr>
                        <pic:blipFill>
                          <a:blip r:embed="rId26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9" name="Picture"/>
                  <a:graphic>
                    <a:graphicData uri="http://schemas.openxmlformats.org/drawingml/2006/picture">
                      <pic:pic>
                        <pic:nvPicPr>
                          <pic:cNvPr descr="03-activity-data/assets/images/png/activity-data-k6a.png" id="270" name="Picture"/>
                          <pic:cNvPicPr>
                            <a:picLocks noChangeArrowheads="1" noChangeAspect="1"/>
                          </pic:cNvPicPr>
                        </pic:nvPicPr>
                        <pic:blipFill>
                          <a:blip r:embed="rId26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2" name="Picture"/>
                  <a:graphic>
                    <a:graphicData uri="http://schemas.openxmlformats.org/drawingml/2006/picture">
                      <pic:pic>
                        <pic:nvPicPr>
                          <pic:cNvPr descr="03-activity-data/assets/images/png/activity-data-k6b.png" id="273" name="Picture"/>
                          <pic:cNvPicPr>
                            <a:picLocks noChangeArrowheads="1" noChangeAspect="1"/>
                          </pic:cNvPicPr>
                        </pic:nvPicPr>
                        <pic:blipFill>
                          <a:blip r:embed="rId271"/>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5" name="Picture"/>
                  <a:graphic>
                    <a:graphicData uri="http://schemas.openxmlformats.org/drawingml/2006/picture">
                      <pic:pic>
                        <pic:nvPicPr>
                          <pic:cNvPr descr="03-activity-data/assets/images/png/activity-data-k7a.png" id="276" name="Picture"/>
                          <pic:cNvPicPr>
                            <a:picLocks noChangeArrowheads="1" noChangeAspect="1"/>
                          </pic:cNvPicPr>
                        </pic:nvPicPr>
                        <pic:blipFill>
                          <a:blip r:embed="rId27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8" name="Picture"/>
                  <a:graphic>
                    <a:graphicData uri="http://schemas.openxmlformats.org/drawingml/2006/picture">
                      <pic:pic>
                        <pic:nvPicPr>
                          <pic:cNvPr descr="03-activity-data/assets/images/png/activity-data-k7b.png" id="279" name="Picture"/>
                          <pic:cNvPicPr>
                            <a:picLocks noChangeArrowheads="1" noChangeAspect="1"/>
                          </pic:cNvPicPr>
                        </pic:nvPicPr>
                        <pic:blipFill>
                          <a:blip r:embed="rId27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1" name="Picture"/>
                  <a:graphic>
                    <a:graphicData uri="http://schemas.openxmlformats.org/drawingml/2006/picture">
                      <pic:pic>
                        <pic:nvPicPr>
                          <pic:cNvPr descr="03-activity-data/assets/images/png/activity-data-k8a.png" id="282" name="Picture"/>
                          <pic:cNvPicPr>
                            <a:picLocks noChangeArrowheads="1" noChangeAspect="1"/>
                          </pic:cNvPicPr>
                        </pic:nvPicPr>
                        <pic:blipFill>
                          <a:blip r:embed="rId28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4" name="Picture"/>
                  <a:graphic>
                    <a:graphicData uri="http://schemas.openxmlformats.org/drawingml/2006/picture">
                      <pic:pic>
                        <pic:nvPicPr>
                          <pic:cNvPr descr="03-activity-data/assets/images/png/activity-data-k8b.png" id="285" name="Picture"/>
                          <pic:cNvPicPr>
                            <a:picLocks noChangeArrowheads="1" noChangeAspect="1"/>
                          </pic:cNvPicPr>
                        </pic:nvPicPr>
                        <pic:blipFill>
                          <a:blip r:embed="rId283"/>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86"/>
    <w:bookmarkEnd w:id="287"/>
    <w:bookmarkStart w:id="297"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such as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effect while preserving legitimate small patches</w:t>
      </w:r>
    </w:p>
    <w:p>
      <w:pPr>
        <w:pStyle w:val="CaptionedFigure"/>
      </w:pPr>
      <w:r>
        <w:drawing>
          <wp:inline>
            <wp:extent cx="5943600" cy="3669379"/>
            <wp:effectExtent b="0" l="0" r="0" t="0"/>
            <wp:docPr descr="Smoothed probability map for class Forest." title="" id="289" name="Picture"/>
            <a:graphic>
              <a:graphicData uri="http://schemas.openxmlformats.org/drawingml/2006/picture">
                <pic:pic>
                  <pic:nvPicPr>
                    <pic:cNvPr descr="03-activity-data/assets/images/png/activity-data-e.png" id="290" name="Picture"/>
                    <pic:cNvPicPr>
                      <a:picLocks noChangeArrowheads="1" noChangeAspect="1"/>
                    </pic:cNvPicPr>
                  </pic:nvPicPr>
                  <pic:blipFill>
                    <a:blip r:embed="rId288"/>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note.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5" name="Picture"/>
            <a:graphic>
              <a:graphicData uri="http://schemas.openxmlformats.org/drawingml/2006/picture">
                <pic:pic>
                  <pic:nvPicPr>
                    <pic:cNvPr descr="03-activity-data/assets/images/png/activity-data-f.png" id="296" name="Picture"/>
                    <pic:cNvPicPr>
                      <a:picLocks noChangeArrowheads="1" noChangeAspect="1"/>
                    </pic:cNvPicPr>
                  </pic:nvPicPr>
                  <pic:blipFill>
                    <a:blip r:embed="rId294"/>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97"/>
    <w:bookmarkStart w:id="299"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This section demonstrates</w:t>
      </w:r>
      <w:r>
        <w:t xml:space="preserve"> </w:t>
      </w:r>
      <w:r>
        <w:rPr>
          <w:rStyle w:val="VerbatimChar"/>
        </w:rPr>
        <w:t xml:space="preserve">caret</w:t>
      </w:r>
      <w:r>
        <w:t xml:space="preserve">-based validation approaches for uncertainty assessment aligned with ART-TREES requirements.</w:t>
      </w:r>
    </w:p>
    <w:p>
      <w:pPr>
        <w:pStyle w:val="BodyText"/>
      </w:pPr>
      <w:r>
        <w:t xml:space="preserve">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298" w:name="monte-carlo-cross-validation"/>
    <w:p>
      <w:pPr>
        <w:pStyle w:val="Heading3"/>
      </w:pPr>
      <w:r>
        <w:t xml:space="preserve">Monte Carlo Cross-Validation</w:t>
      </w:r>
    </w:p>
    <w:p>
      <w:pPr>
        <w:pStyle w:val="FirstParagraph"/>
      </w:pPr>
      <w:r>
        <w:t xml:space="preserve">In the following, we implement a Monte Carlo training simulation for robust uncertainty and stability metrics across repeated random partitions. For demonstration purposes, this simulation is fitted with only 10 iterations. We recommend increasing this to 10,000 iterations to meet ART-TREES requirements :</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298"/>
    <w:bookmarkEnd w:id="299"/>
    <w:bookmarkStart w:id="301" w:name="accuracy-assessment"/>
    <w:p>
      <w:pPr>
        <w:pStyle w:val="Heading2"/>
      </w:pPr>
      <w:r>
        <w:t xml:space="preserve">3.9 Accuracy Assessment</w:t>
      </w:r>
    </w:p>
    <w:p>
      <w:pPr>
        <w:pStyle w:val="FirstParagraph"/>
      </w:pPr>
      <w:r>
        <w:t xml:space="preserve">Accuracy assessment quantifies classification performance against independent reference data. Stratified train-test partitioning ensures adequate representation across forest disturbance classes.</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300"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300"/>
    <w:bookmarkEnd w:id="301"/>
    <w:bookmarkStart w:id="302" w:name="sec-summary"/>
    <w:p>
      <w:pPr>
        <w:pStyle w:val="Heading2"/>
      </w:pPr>
      <w:r>
        <w:t xml:space="preserve">3.10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7"/>
        </w:numPr>
      </w:pPr>
      <w:r>
        <w:t xml:space="preserve">Data cube architecture: Structured approach to spatiotemporal land cover analysis</w:t>
      </w:r>
    </w:p>
    <w:p>
      <w:pPr>
        <w:pStyle w:val="Compact"/>
        <w:numPr>
          <w:ilvl w:val="0"/>
          <w:numId w:val="1077"/>
        </w:numPr>
      </w:pPr>
      <w:r>
        <w:t xml:space="preserve">IPCC methodology alignment: Clear guidance on Approach 3 requirements</w:t>
      </w:r>
    </w:p>
    <w:p>
      <w:pPr>
        <w:pStyle w:val="Compact"/>
        <w:numPr>
          <w:ilvl w:val="0"/>
          <w:numId w:val="1077"/>
        </w:numPr>
      </w:pPr>
      <w:r>
        <w:t xml:space="preserve">Pixel-level uncertainty tracking: Model residuals for adaptive sampling</w:t>
      </w:r>
    </w:p>
    <w:p>
      <w:pPr>
        <w:pStyle w:val="Compact"/>
        <w:numPr>
          <w:ilvl w:val="0"/>
          <w:numId w:val="1077"/>
        </w:numPr>
      </w:pPr>
      <w:r>
        <w:t xml:space="preserve">Random Forest optimization: Monte Carlo calibration workflows</w:t>
      </w:r>
    </w:p>
    <w:p>
      <w:pPr>
        <w:pStyle w:val="Compact"/>
        <w:numPr>
          <w:ilvl w:val="0"/>
          <w:numId w:val="1077"/>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2"/>
    <w:bookmarkEnd w:id="303"/>
    <w:bookmarkStart w:id="317" w:name="monte-carlo"/>
    <w:p>
      <w:pPr>
        <w:pStyle w:val="Heading1"/>
      </w:pPr>
      <w:r>
        <w:t xml:space="preserve">4. Monte Carlo</w:t>
      </w:r>
    </w:p>
    <w:bookmarkStart w:id="305"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4" w:name="environment-setup-1"/>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4"/>
    <w:bookmarkEnd w:id="305"/>
    <w:bookmarkStart w:id="307" w:name="simulation-architecture"/>
    <w:p>
      <w:pPr>
        <w:pStyle w:val="Heading2"/>
      </w:pPr>
      <w:r>
        <w:t xml:space="preserve">4.1 Simulation Architecture</w:t>
      </w:r>
    </w:p>
    <w:p>
      <w:pPr>
        <w:pStyle w:val="FirstParagraph"/>
      </w:pPr>
      <w:r>
        <w:t xml:space="preserve">Temporal Scope Design</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06"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06"/>
    <w:bookmarkEnd w:id="307"/>
    <w:bookmarkStart w:id="309" w:name="uncertainty-source-prioritization"/>
    <w:p>
      <w:pPr>
        <w:pStyle w:val="Heading2"/>
      </w:pPr>
      <w:r>
        <w:t xml:space="preserve">4.2 Uncertainty Source Prioritization</w:t>
      </w:r>
    </w:p>
    <w:bookmarkStart w:id="308" w:name="sensitivity-analysis"/>
    <w:p>
      <w:pPr>
        <w:pStyle w:val="Heading3"/>
      </w:pPr>
      <w:r>
        <w:t xml:space="preserve">Sensitivity Analysis</w:t>
      </w:r>
    </w:p>
    <w:p>
      <w:pPr>
        <w:pStyle w:val="FirstParagraph"/>
      </w:pPr>
      <w:r>
        <w:t xml:space="preserve">Tornado diagrams identify dominant error sources: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08"/>
    <w:bookmarkEnd w:id="309"/>
    <w:bookmarkStart w:id="312" w:name="optimization-strategies"/>
    <w:p>
      <w:pPr>
        <w:pStyle w:val="Heading2"/>
      </w:pPr>
      <w:r>
        <w:t xml:space="preserve">4.3 Optimization Strategies</w:t>
      </w:r>
    </w:p>
    <w:bookmarkStart w:id="310"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10"/>
    <w:bookmarkStart w:id="311" w:name="temporal-aggregation"/>
    <w:p>
      <w:pPr>
        <w:pStyle w:val="Heading3"/>
      </w:pPr>
      <w:r>
        <w:t xml:space="preserve">Temporal Aggregation</w:t>
      </w:r>
    </w:p>
    <w:p>
      <w:pPr>
        <w:pStyle w:val="FirstParagraph"/>
      </w:pPr>
      <w:r>
        <w:t xml:space="preserve">ART-TREES Section 8.7 permits recalculation every 5 years to recover over-deducted credits when cumulative uncertainty decreases. Programs achieving systematic uncertainty reduction through improved methods can retroactively claim additional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o</m:t>
                      </m:r>
                      <m:r>
                        <m:t>r</m:t>
                      </m:r>
                      <m:r>
                        <m:t>i</m:t>
                      </m:r>
                      <m:r>
                        <m:t>g</m:t>
                      </m:r>
                      <m:r>
                        <m:t>i</m:t>
                      </m:r>
                      <m:r>
                        <m:t>n</m:t>
                      </m:r>
                      <m:r>
                        <m:t>a</m:t>
                      </m:r>
                      <m:r>
                        <m:t>l</m:t>
                      </m:r>
                    </m:sub>
                  </m:sSub>
                  <m:r>
                    <m:rPr>
                      <m:sty m:val="p"/>
                    </m:rPr>
                    <m:t>−</m:t>
                  </m:r>
                  <m:r>
                    <m:t>U</m:t>
                  </m:r>
                  <m:sSub>
                    <m:e>
                      <m:r>
                        <m:t>A</m:t>
                      </m:r>
                    </m:e>
                    <m:sub>
                      <m:r>
                        <m:t>i</m:t>
                      </m:r>
                      <m:r>
                        <m:rPr>
                          <m:sty m:val="p"/>
                        </m:rPr>
                        <m:t>,</m:t>
                      </m:r>
                      <m:r>
                        <m:t>u</m:t>
                      </m:r>
                      <m:r>
                        <m:t>p</m:t>
                      </m:r>
                      <m:r>
                        <m:t>d</m:t>
                      </m:r>
                      <m:r>
                        <m:t>a</m:t>
                      </m:r>
                      <m:r>
                        <m:t>t</m:t>
                      </m:r>
                      <m:r>
                        <m:t>e</m:t>
                      </m:r>
                      <m:r>
                        <m:t>d</m:t>
                      </m:r>
                    </m:sub>
                  </m:sSub>
                </m:e>
              </m:d>
            </m:e>
          </m:nary>
          <m:r>
            <m:rPr>
              <m:sty m:val="p"/>
            </m:rPr>
            <m:t>×</m:t>
          </m:r>
          <m:sSub>
            <m:e>
              <m:r>
                <m:rPr>
                  <m:nor/>
                  <m:sty m:val="p"/>
                </m:rPr>
                <m:t>Emissions</m:t>
              </m:r>
            </m:e>
            <m:sub>
              <m:r>
                <m:t>i</m:t>
              </m:r>
            </m:sub>
          </m:sSub>
        </m:oMath>
      </m:oMathPara>
    </w:p>
    <w:p>
      <w:pPr>
        <w:pStyle w:val="FirstParagraph"/>
      </w:pPr>
      <w:r>
        <w:t xml:space="preserve">This provision incentives continuous methodological improvement rather than penalizing early-stage high uncertainty.</w:t>
      </w:r>
    </w:p>
    <w:bookmarkEnd w:id="311"/>
    <w:bookmarkEnd w:id="312"/>
    <w:bookmarkStart w:id="314" w:name="worked-example-jurisdictional-program"/>
    <w:p>
      <w:pPr>
        <w:pStyle w:val="Heading2"/>
      </w:pPr>
      <w:r>
        <w:t xml:space="preserve">4.4 Worked Example: Jurisdictional Program</w:t>
      </w:r>
    </w:p>
    <w:bookmarkStart w:id="313"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19935054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0.5%</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19825695 tCO2</w:t>
      </w:r>
    </w:p>
    <w:bookmarkEnd w:id="313"/>
    <w:bookmarkEnd w:id="314"/>
    <w:bookmarkStart w:id="315" w:name="compliance-checklist"/>
    <w:p>
      <w:pPr>
        <w:pStyle w:val="Heading2"/>
      </w:pPr>
      <w:r>
        <w:t xml:space="preserve">4.5 Compliance Checklist</w:t>
      </w:r>
    </w:p>
    <w:p>
      <w:pPr>
        <w:pStyle w:val="Compact"/>
        <w:numPr>
          <w:ilvl w:val="0"/>
          <w:numId w:val="1078"/>
        </w:numPr>
      </w:pPr>
      <w:r>
        <w:t xml:space="preserve">Minimum 10,000 iterations per crediting year</w:t>
      </w:r>
    </w:p>
    <w:p>
      <w:pPr>
        <w:pStyle w:val="Compact"/>
        <w:numPr>
          <w:ilvl w:val="0"/>
          <w:numId w:val="1078"/>
        </w:numPr>
      </w:pPr>
      <w:r>
        <w:t xml:space="preserve">90% confidence intervals (5th and 95th percentiles)</w:t>
      </w:r>
    </w:p>
    <w:p>
      <w:pPr>
        <w:pStyle w:val="Compact"/>
        <w:numPr>
          <w:ilvl w:val="0"/>
          <w:numId w:val="1078"/>
        </w:numPr>
      </w:pPr>
      <w:r>
        <w:t xml:space="preserve">Bootstrap sampling for unknown distributions</w:t>
      </w:r>
    </w:p>
    <w:p>
      <w:pPr>
        <w:pStyle w:val="Compact"/>
        <w:numPr>
          <w:ilvl w:val="0"/>
          <w:numId w:val="1078"/>
        </w:numPr>
      </w:pPr>
      <w:r>
        <w:t xml:space="preserve">Conservative bias (systematic underestimation permitted)</w:t>
      </w:r>
    </w:p>
    <w:p>
      <w:pPr>
        <w:pStyle w:val="Compact"/>
        <w:numPr>
          <w:ilvl w:val="0"/>
          <w:numId w:val="1078"/>
        </w:numPr>
      </w:pPr>
      <w:r>
        <w:t xml:space="preserve">Whole-chain integration (activity data + emission factors)</w:t>
      </w:r>
    </w:p>
    <w:p>
      <w:pPr>
        <w:pStyle w:val="Compact"/>
        <w:numPr>
          <w:ilvl w:val="0"/>
          <w:numId w:val="1078"/>
        </w:numPr>
      </w:pPr>
      <w:r>
        <w:t xml:space="preserve">Documentation of simulation code and random seed</w:t>
      </w:r>
    </w:p>
    <w:bookmarkEnd w:id="315"/>
    <w:bookmarkStart w:id="316" w:name="chapter-summary-2"/>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16"/>
    <w:bookmarkEnd w:id="317"/>
    <w:bookmarkStart w:id="409" w:name="references"/>
    <w:p>
      <w:pPr>
        <w:pStyle w:val="Heading1"/>
      </w:pPr>
      <w:r>
        <w:t xml:space="preserve">References</w:t>
      </w:r>
    </w:p>
    <w:bookmarkStart w:id="408" w:name="refs"/>
    <w:bookmarkStart w:id="319"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318">
        <w:r>
          <w:rPr>
            <w:rStyle w:val="Hyperlink"/>
          </w:rPr>
          <w:t xml:space="preserve">https://doi.org/10.3390/data4030092</w:t>
        </w:r>
      </w:hyperlink>
    </w:p>
    <w:bookmarkEnd w:id="319"/>
    <w:bookmarkStart w:id="320"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320"/>
    <w:bookmarkStart w:id="322"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1">
        <w:r>
          <w:rPr>
            <w:rStyle w:val="Hyperlink"/>
          </w:rPr>
          <w:t xml:space="preserve">https://doi.org/10.1034/j.1600-0706.2003.12181.x</w:t>
        </w:r>
      </w:hyperlink>
    </w:p>
    <w:bookmarkEnd w:id="322"/>
    <w:bookmarkStart w:id="323"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23"/>
    <w:bookmarkStart w:id="325"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24">
        <w:r>
          <w:rPr>
            <w:rStyle w:val="Hyperlink"/>
          </w:rPr>
          <w:t xml:space="preserve">https://www.artredd.org/wp-content/uploads/2021/12/TREES-2.0-August-2021-Clean.pdf</w:t>
        </w:r>
      </w:hyperlink>
    </w:p>
    <w:bookmarkEnd w:id="325"/>
    <w:bookmarkStart w:id="326"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26"/>
    <w:bookmarkStart w:id="327"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27"/>
    <w:bookmarkStart w:id="328"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28"/>
    <w:bookmarkStart w:id="329"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29"/>
    <w:bookmarkStart w:id="330"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0"/>
    <w:bookmarkStart w:id="332"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1">
        <w:r>
          <w:rPr>
            <w:rStyle w:val="Hyperlink"/>
          </w:rPr>
          <w:t xml:space="preserve">https://e-sensing.github.io/sitsbook/uncertainty-and-active-learning.html#uncertainty-and-active-learning</w:t>
        </w:r>
      </w:hyperlink>
    </w:p>
    <w:bookmarkEnd w:id="332"/>
    <w:bookmarkStart w:id="333"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33"/>
    <w:bookmarkStart w:id="334"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34"/>
    <w:bookmarkStart w:id="335"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35"/>
    <w:bookmarkStart w:id="336"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36"/>
    <w:bookmarkStart w:id="337"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37"/>
    <w:bookmarkStart w:id="339"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38">
        <w:r>
          <w:rPr>
            <w:rStyle w:val="Hyperlink"/>
          </w:rPr>
          <w:t xml:space="preserve">https://doi.org/10.5067/DOC/CEOSWGCV/LPV/AGB.001</w:t>
        </w:r>
      </w:hyperlink>
    </w:p>
    <w:bookmarkEnd w:id="339"/>
    <w:bookmarkStart w:id="340"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0"/>
    <w:bookmarkStart w:id="341"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1"/>
    <w:bookmarkStart w:id="342"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2"/>
    <w:bookmarkStart w:id="343" w:name="ref-gonccalves2008unsupervised"/>
    <w:p>
      <w:pPr>
        <w:pStyle w:val="Bibliography"/>
      </w:pPr>
      <w:r>
        <w:t xml:space="preserve">Gonçalves, M., Netto, M., Costa, J., &amp; Zullo Junior, J. (2008). An unsupervised method of classifying remotely sensed images using kohonen self-organizing maps and agglomerative hierarchical clustering methods.</w:t>
      </w:r>
      <w:r>
        <w:t xml:space="preserve"> </w:t>
      </w:r>
      <w:r>
        <w:rPr>
          <w:i/>
          <w:iCs/>
        </w:rPr>
        <w:t xml:space="preserve">International Journal of Remote Sensing</w:t>
      </w:r>
      <w:r>
        <w:t xml:space="preserve">,</w:t>
      </w:r>
      <w:r>
        <w:t xml:space="preserve"> </w:t>
      </w:r>
      <w:r>
        <w:rPr>
          <w:i/>
          <w:iCs/>
        </w:rPr>
        <w:t xml:space="preserve">29</w:t>
      </w:r>
      <w:r>
        <w:t xml:space="preserve">(11), 3171–3207.</w:t>
      </w:r>
    </w:p>
    <w:bookmarkEnd w:id="343"/>
    <w:bookmarkStart w:id="344"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44"/>
    <w:bookmarkStart w:id="345"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45"/>
    <w:bookmarkStart w:id="346"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46"/>
    <w:bookmarkStart w:id="347"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47"/>
    <w:bookmarkStart w:id="349" w:name="ref-terra-2"/>
    <w:p>
      <w:pPr>
        <w:pStyle w:val="Bibliography"/>
      </w:pPr>
      <w:r>
        <w:t xml:space="preserve">Hijmans, R. J. (2025).</w:t>
      </w:r>
      <w:r>
        <w:t xml:space="preserve"> </w:t>
      </w:r>
      <w:r>
        <w:rPr>
          <w:i/>
          <w:iCs/>
        </w:rPr>
        <w:t xml:space="preserve">Terra: Spatial data analysis</w:t>
      </w:r>
      <w:r>
        <w:t xml:space="preserve">.</w:t>
      </w:r>
      <w:r>
        <w:t xml:space="preserve"> </w:t>
      </w:r>
      <w:hyperlink r:id="rId348">
        <w:r>
          <w:rPr>
            <w:rStyle w:val="Hyperlink"/>
          </w:rPr>
          <w:t xml:space="preserve">https://CRAN.R-project.org/package=terra</w:t>
        </w:r>
      </w:hyperlink>
    </w:p>
    <w:bookmarkEnd w:id="349"/>
    <w:bookmarkStart w:id="350"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0"/>
    <w:bookmarkStart w:id="351"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1"/>
    <w:bookmarkStart w:id="352"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2"/>
    <w:bookmarkStart w:id="354"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3">
        <w:r>
          <w:rPr>
            <w:rStyle w:val="Hyperlink"/>
          </w:rPr>
          <w:t xml:space="preserve">https://www.ipcc-nggip.iges.or.jp/public/2019rf/vol4.html</w:t>
        </w:r>
      </w:hyperlink>
    </w:p>
    <w:bookmarkEnd w:id="354"/>
    <w:bookmarkStart w:id="356"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5">
        <w:r>
          <w:rPr>
            <w:rStyle w:val="Hyperlink"/>
          </w:rPr>
          <w:t xml:space="preserve">https://www.ipcc-nggip.iges.or.jp/public/2019rf/pdf/4_Volume4/19R_V4_Ch02_Generic%20Methods.pdf</w:t>
        </w:r>
      </w:hyperlink>
    </w:p>
    <w:bookmarkEnd w:id="356"/>
    <w:bookmarkStart w:id="357"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57"/>
    <w:bookmarkStart w:id="358"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58"/>
    <w:bookmarkStart w:id="359"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59"/>
    <w:bookmarkStart w:id="360"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0"/>
    <w:bookmarkStart w:id="361"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1"/>
    <w:bookmarkStart w:id="363"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2">
        <w:r>
          <w:rPr>
            <w:rStyle w:val="Hyperlink"/>
          </w:rPr>
          <w:t xml:space="preserve">https://doi.org/10.1016/j.aquabot.2007.12.006</w:t>
        </w:r>
      </w:hyperlink>
    </w:p>
    <w:bookmarkEnd w:id="363"/>
    <w:bookmarkStart w:id="364"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64"/>
    <w:bookmarkStart w:id="365" w:name="ref-kuhn2011caret"/>
    <w:p>
      <w:pPr>
        <w:pStyle w:val="Bibliography"/>
      </w:pPr>
      <w:r>
        <w:t xml:space="preserve">Kuhn, M. (2011).</w:t>
      </w:r>
      <w:r>
        <w:t xml:space="preserve"> </w:t>
      </w:r>
      <w:r>
        <w:rPr>
          <w:i/>
          <w:iCs/>
        </w:rPr>
        <w:t xml:space="preserve">The caret package</w:t>
      </w:r>
      <w:r>
        <w:t xml:space="preserve">.</w:t>
      </w:r>
    </w:p>
    <w:bookmarkEnd w:id="365"/>
    <w:bookmarkStart w:id="366" w:name="ref-maus2019dtwsat"/>
    <w:p>
      <w:pPr>
        <w:pStyle w:val="Bibliography"/>
      </w:pPr>
      <w:r>
        <w:t xml:space="preserve">Maus, V., Câmara, G., Appel, M., &amp; Pebesma, E. (2019). Dtwsat: Time-weighted dynamic time warping for satellite image time series analysis in r.</w:t>
      </w:r>
      <w:r>
        <w:t xml:space="preserve"> </w:t>
      </w:r>
      <w:r>
        <w:rPr>
          <w:i/>
          <w:iCs/>
        </w:rPr>
        <w:t xml:space="preserve">Journal of Statistical Software</w:t>
      </w:r>
      <w:r>
        <w:t xml:space="preserve">,</w:t>
      </w:r>
      <w:r>
        <w:t xml:space="preserve"> </w:t>
      </w:r>
      <w:r>
        <w:rPr>
          <w:i/>
          <w:iCs/>
        </w:rPr>
        <w:t xml:space="preserve">88</w:t>
      </w:r>
      <w:r>
        <w:t xml:space="preserve">, 1–31.</w:t>
      </w:r>
    </w:p>
    <w:bookmarkEnd w:id="366"/>
    <w:bookmarkStart w:id="367"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67"/>
    <w:bookmarkStart w:id="368"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68"/>
    <w:bookmarkStart w:id="369" w:name="ref-meyer2022machine"/>
    <w:p>
      <w:pPr>
        <w:pStyle w:val="Bibliography"/>
      </w:pPr>
      <w:r>
        <w:t xml:space="preserve">Meyer, H., &amp; Pebesma, E. (2022). Machine learning-based global maps of ecological variables and the challenge of assessing them.</w:t>
      </w:r>
      <w:r>
        <w:t xml:space="preserve"> </w:t>
      </w:r>
      <w:r>
        <w:rPr>
          <w:i/>
          <w:iCs/>
        </w:rPr>
        <w:t xml:space="preserve">Nature Communications</w:t>
      </w:r>
      <w:r>
        <w:t xml:space="preserve">,</w:t>
      </w:r>
      <w:r>
        <w:t xml:space="preserve"> </w:t>
      </w:r>
      <w:r>
        <w:rPr>
          <w:i/>
          <w:iCs/>
        </w:rPr>
        <w:t xml:space="preserve">13</w:t>
      </w:r>
      <w:r>
        <w:t xml:space="preserve">(1), 2208.</w:t>
      </w:r>
    </w:p>
    <w:bookmarkEnd w:id="369"/>
    <w:bookmarkStart w:id="370"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0"/>
    <w:bookmarkStart w:id="371"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1"/>
    <w:bookmarkStart w:id="372" w:name="ref-neagoe2014concurrent"/>
    <w:p>
      <w:pPr>
        <w:pStyle w:val="Bibliography"/>
      </w:pPr>
      <w:r>
        <w:t xml:space="preserve">Neagoe, V.-E., Stoica, R.-M., Ciurea, A.-I., Bruzzone, L., &amp; Bovolo, F. (2014). Concurrent self-organizing maps for supervised/unsupervised change detection in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7</w:t>
      </w:r>
      <w:r>
        <w:t xml:space="preserve">(8), 3525–3533.</w:t>
      </w:r>
    </w:p>
    <w:bookmarkEnd w:id="372"/>
    <w:bookmarkStart w:id="373"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3"/>
    <w:bookmarkStart w:id="374"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4"/>
    <w:bookmarkStart w:id="375" w:name="ref-petitjean2012satellite"/>
    <w:p>
      <w:pPr>
        <w:pStyle w:val="Bibliography"/>
      </w:pPr>
      <w:r>
        <w:t xml:space="preserve">Petitjean, F., Inglada, J., &amp; Gançarski, P. (2012). Satellite image time series analysis under time warping.</w:t>
      </w:r>
      <w:r>
        <w:t xml:space="preserve"> </w:t>
      </w:r>
      <w:r>
        <w:rPr>
          <w:i/>
          <w:iCs/>
        </w:rPr>
        <w:t xml:space="preserve">IEEE Transactions on Geoscience and Remote Sensing</w:t>
      </w:r>
      <w:r>
        <w:t xml:space="preserve">,</w:t>
      </w:r>
      <w:r>
        <w:t xml:space="preserve"> </w:t>
      </w:r>
      <w:r>
        <w:rPr>
          <w:i/>
          <w:iCs/>
        </w:rPr>
        <w:t xml:space="preserve">50</w:t>
      </w:r>
      <w:r>
        <w:t xml:space="preserve">(8), 3081–3095.</w:t>
      </w:r>
    </w:p>
    <w:bookmarkEnd w:id="375"/>
    <w:bookmarkStart w:id="376"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6"/>
    <w:bookmarkStart w:id="377"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7"/>
    <w:bookmarkStart w:id="378" w:name="ref-rand1971objective"/>
    <w:p>
      <w:pPr>
        <w:pStyle w:val="Bibliography"/>
      </w:pPr>
      <w:r>
        <w:t xml:space="preserve">Rand, W. M. (1971). Objective criteria for the evaluation of clustering methods.</w:t>
      </w:r>
      <w:r>
        <w:t xml:space="preserve"> </w:t>
      </w:r>
      <w:r>
        <w:rPr>
          <w:i/>
          <w:iCs/>
        </w:rPr>
        <w:t xml:space="preserve">Journal of the American Statistical Association</w:t>
      </w:r>
      <w:r>
        <w:t xml:space="preserve">,</w:t>
      </w:r>
      <w:r>
        <w:t xml:space="preserve"> </w:t>
      </w:r>
      <w:r>
        <w:rPr>
          <w:i/>
          <w:iCs/>
        </w:rPr>
        <w:t xml:space="preserve">66</w:t>
      </w:r>
      <w:r>
        <w:t xml:space="preserve">(336), 846–850.</w:t>
      </w:r>
    </w:p>
    <w:bookmarkEnd w:id="378"/>
    <w:bookmarkStart w:id="380"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9">
        <w:r>
          <w:rPr>
            <w:rStyle w:val="Hyperlink"/>
          </w:rPr>
          <w:t xml:space="preserve">https://doi.org/10.1111/2041-210X.12753</w:t>
        </w:r>
      </w:hyperlink>
    </w:p>
    <w:bookmarkEnd w:id="380"/>
    <w:bookmarkStart w:id="381"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9">
        <w:r>
          <w:rPr>
            <w:rStyle w:val="Hyperlink"/>
          </w:rPr>
          <w:t xml:space="preserve">https://doi.org/10.1111/2041-210X.12753</w:t>
        </w:r>
      </w:hyperlink>
    </w:p>
    <w:bookmarkEnd w:id="381"/>
    <w:bookmarkStart w:id="382"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2"/>
    <w:bookmarkStart w:id="383"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3"/>
    <w:bookmarkStart w:id="384"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4"/>
    <w:bookmarkStart w:id="385"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5"/>
    <w:bookmarkStart w:id="386"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6"/>
    <w:bookmarkStart w:id="388"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7">
        <w:r>
          <w:rPr>
            <w:rStyle w:val="Hyperlink"/>
          </w:rPr>
          <w:t xml:space="preserve">https://doi.org/10.1002/j.1538-7305.1948.tb01338.x</w:t>
        </w:r>
      </w:hyperlink>
    </w:p>
    <w:bookmarkEnd w:id="388"/>
    <w:bookmarkStart w:id="389"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89"/>
    <w:bookmarkStart w:id="390"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0"/>
    <w:bookmarkStart w:id="391"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1"/>
    <w:bookmarkStart w:id="393"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92">
        <w:r>
          <w:rPr>
            <w:rStyle w:val="Hyperlink"/>
          </w:rPr>
          <w:t xml:space="preserve">https://doi.org/10.3390/rs13132428</w:t>
        </w:r>
      </w:hyperlink>
    </w:p>
    <w:bookmarkEnd w:id="393"/>
    <w:bookmarkStart w:id="395" w:name="ref-smotefamily"/>
    <w:p>
      <w:pPr>
        <w:pStyle w:val="Bibliography"/>
      </w:pPr>
      <w:r>
        <w:t xml:space="preserve">Siriseriwan, W. (2024).</w:t>
      </w:r>
      <w:r>
        <w:t xml:space="preserve"> </w:t>
      </w:r>
      <w:r>
        <w:rPr>
          <w:i/>
          <w:iCs/>
        </w:rPr>
        <w:t xml:space="preserve">Smotefamily: A collection of oversampling techniques for class imbalance problem based on SMOTE</w:t>
      </w:r>
      <w:r>
        <w:t xml:space="preserve">.</w:t>
      </w:r>
      <w:r>
        <w:t xml:space="preserve"> </w:t>
      </w:r>
      <w:hyperlink r:id="rId394">
        <w:r>
          <w:rPr>
            <w:rStyle w:val="Hyperlink"/>
          </w:rPr>
          <w:t xml:space="preserve">https://CRAN.R-project.org/package=smotefamily</w:t>
        </w:r>
      </w:hyperlink>
    </w:p>
    <w:bookmarkEnd w:id="395"/>
    <w:bookmarkStart w:id="396"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6"/>
    <w:bookmarkStart w:id="397"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7"/>
    <w:bookmarkStart w:id="399"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98">
        <w:r>
          <w:rPr>
            <w:rStyle w:val="Hyperlink"/>
          </w:rPr>
          <w:t xml:space="preserve">https://doi.org/10.1080/07038992.2021.1941823</w:t>
        </w:r>
      </w:hyperlink>
    </w:p>
    <w:bookmarkEnd w:id="399"/>
    <w:bookmarkStart w:id="401" w:name="ref-DMwR"/>
    <w:p>
      <w:pPr>
        <w:pStyle w:val="Bibliography"/>
      </w:pPr>
      <w:r>
        <w:t xml:space="preserve">Torgo, L. (2010).</w:t>
      </w:r>
      <w:r>
        <w:t xml:space="preserve"> </w:t>
      </w:r>
      <w:r>
        <w:rPr>
          <w:i/>
          <w:iCs/>
        </w:rPr>
        <w:t xml:space="preserve">Data mining with r, learning with case studies</w:t>
      </w:r>
      <w:r>
        <w:t xml:space="preserve">.</w:t>
      </w:r>
      <w:r>
        <w:t xml:space="preserve"> </w:t>
      </w:r>
      <w:hyperlink r:id="rId400">
        <w:r>
          <w:rPr>
            <w:rStyle w:val="Hyperlink"/>
          </w:rPr>
          <w:t xml:space="preserve">http://www.dcc.fc.up.pt/~ltorgo/DataMiningWithR</w:t>
        </w:r>
      </w:hyperlink>
    </w:p>
    <w:bookmarkEnd w:id="401"/>
    <w:bookmarkStart w:id="402"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402"/>
    <w:bookmarkStart w:id="403"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403"/>
    <w:bookmarkStart w:id="404"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404"/>
    <w:bookmarkStart w:id="405"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5"/>
    <w:bookmarkStart w:id="406" w:name="ref-yao2016application"/>
    <w:p>
      <w:pPr>
        <w:pStyle w:val="Bibliography"/>
      </w:pPr>
      <w:r>
        <w:t xml:space="preserve">Yao, W., Loffeld, O., &amp; Datcu, M. (2016). Application and evaluation of a hierarchical patch clustering method for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9</w:t>
      </w:r>
      <w:r>
        <w:t xml:space="preserve">(6), 2279–2289.</w:t>
      </w:r>
    </w:p>
    <w:bookmarkEnd w:id="406"/>
    <w:bookmarkStart w:id="407"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7"/>
    <w:bookmarkEnd w:id="408"/>
    <w:bookmarkEnd w:id="409"/>
    <w:bookmarkStart w:id="412" w:name="glossary-of-terms"/>
    <w:p>
      <w:pPr>
        <w:pStyle w:val="Heading1"/>
      </w:pPr>
      <w:r>
        <w:t xml:space="preserve">Glossary of Terms</w:t>
      </w:r>
    </w:p>
    <w:p>
      <w:pPr>
        <w:pStyle w:val="Compact"/>
        <w:numPr>
          <w:ilvl w:val="0"/>
          <w:numId w:val="1079"/>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79"/>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79"/>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79"/>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79"/>
        </w:numPr>
      </w:pPr>
      <w:r>
        <w:rPr>
          <w:b/>
          <w:bCs/>
        </w:rPr>
        <w:t xml:space="preserve">Back-casting</w:t>
      </w:r>
      <w:r>
        <w:t xml:space="preserve">: The opposite of forecasting. Predicting conditions in the past from current conditions.</w:t>
      </w:r>
    </w:p>
    <w:p>
      <w:pPr>
        <w:pStyle w:val="Compact"/>
        <w:numPr>
          <w:ilvl w:val="0"/>
          <w:numId w:val="1079"/>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79"/>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79"/>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79"/>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79"/>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79"/>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79"/>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79"/>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79"/>
        </w:numPr>
      </w:pPr>
      <w:r>
        <w:rPr>
          <w:b/>
          <w:bCs/>
        </w:rPr>
        <w:t xml:space="preserve">Monte Carlo Method</w:t>
      </w:r>
      <w:r>
        <w:t xml:space="preserve">:</w:t>
      </w:r>
      <w:r>
        <w:rPr>
          <w:rStyle w:val="FootnoteReference"/>
        </w:rPr>
        <w:footnoteReference w:id="410"/>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79"/>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79"/>
        </w:numPr>
      </w:pPr>
      <w:r>
        <w:rPr>
          <w:b/>
          <w:bCs/>
        </w:rPr>
        <w:t xml:space="preserve">Oxidation:</w:t>
      </w:r>
      <w:r>
        <w:t xml:space="preserve"> </w:t>
      </w:r>
      <w:r>
        <w:t xml:space="preserve">Chemically transform of a substance by combining it with oxygen.</w:t>
      </w:r>
    </w:p>
    <w:p>
      <w:pPr>
        <w:pStyle w:val="Compact"/>
        <w:numPr>
          <w:ilvl w:val="0"/>
          <w:numId w:val="1079"/>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79"/>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79"/>
        </w:numPr>
      </w:pPr>
      <w:r>
        <w:rPr>
          <w:b/>
          <w:bCs/>
        </w:rPr>
        <w:t xml:space="preserve">Removals:</w:t>
      </w:r>
      <w:r>
        <w:t xml:space="preserve"> </w:t>
      </w:r>
      <w:r>
        <w:t xml:space="preserve">Removal of greenhouse gases and/or their precursors from the atmosphere by a sink.</w:t>
      </w:r>
    </w:p>
    <w:p>
      <w:pPr>
        <w:pStyle w:val="Compact"/>
        <w:numPr>
          <w:ilvl w:val="0"/>
          <w:numId w:val="1079"/>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79"/>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79"/>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79"/>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79"/>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79"/>
        </w:numPr>
      </w:pPr>
      <w:r>
        <w:t xml:space="preserve">Several definitions above were copied from the</w:t>
      </w:r>
      <w:r>
        <w:t xml:space="preserve"> </w:t>
      </w:r>
      <w:hyperlink r:id="rId411">
        <w:r>
          <w:rPr>
            <w:rStyle w:val="Hyperlink"/>
          </w:rPr>
          <w:t xml:space="preserve">IPCC’s 2006 Glossary of Terms</w:t>
        </w:r>
      </w:hyperlink>
    </w:p>
    <w:bookmarkEnd w:id="412"/>
    <w:bookmarkStart w:id="442" w:name="additional-reading"/>
    <w:p>
      <w:pPr>
        <w:pStyle w:val="Heading1"/>
      </w:pPr>
      <w:r>
        <w:t xml:space="preserve">Additional Reading</w:t>
      </w:r>
    </w:p>
    <w:bookmarkStart w:id="417" w:name="allometric-uncertainty-1"/>
    <w:p>
      <w:pPr>
        <w:pStyle w:val="Heading4"/>
      </w:pPr>
      <w:r>
        <w:rPr>
          <w:i/>
          <w:iCs/>
        </w:rPr>
        <w:t xml:space="preserve">Allometric Uncertainty:</w:t>
      </w:r>
    </w:p>
    <w:p>
      <w:pPr>
        <w:pStyle w:val="Compact"/>
        <w:numPr>
          <w:ilvl w:val="0"/>
          <w:numId w:val="1080"/>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0"/>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13">
        <w:r>
          <w:rPr>
            <w:rStyle w:val="Hyperlink"/>
          </w:rPr>
          <w:t xml:space="preserve">https://doi.org/10.5589/m06-030</w:t>
        </w:r>
      </w:hyperlink>
    </w:p>
    <w:p>
      <w:pPr>
        <w:pStyle w:val="Compact"/>
        <w:numPr>
          <w:ilvl w:val="0"/>
          <w:numId w:val="1080"/>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0"/>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38">
        <w:r>
          <w:rPr>
            <w:rStyle w:val="Hyperlink"/>
          </w:rPr>
          <w:t xml:space="preserve">https://doi.org/10.5067/DOC/CEOSWGCV/LPV/AGB.001</w:t>
        </w:r>
      </w:hyperlink>
    </w:p>
    <w:p>
      <w:pPr>
        <w:pStyle w:val="Compact"/>
        <w:numPr>
          <w:ilvl w:val="0"/>
          <w:numId w:val="1080"/>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0"/>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0"/>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0"/>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14">
        <w:r>
          <w:rPr>
            <w:rStyle w:val="Hyperlink"/>
          </w:rPr>
          <w:t xml:space="preserve">https://doi.org/10.1007/s13595-015-0473-x</w:t>
        </w:r>
      </w:hyperlink>
    </w:p>
    <w:p>
      <w:pPr>
        <w:pStyle w:val="Compact"/>
        <w:numPr>
          <w:ilvl w:val="0"/>
          <w:numId w:val="1080"/>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0"/>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0"/>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0"/>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15">
        <w:r>
          <w:rPr>
            <w:rStyle w:val="Hyperlink"/>
          </w:rPr>
          <w:t xml:space="preserve">https://doi.org/10.1007/s13595-014-0434-9</w:t>
        </w:r>
      </w:hyperlink>
    </w:p>
    <w:p>
      <w:pPr>
        <w:pStyle w:val="Compact"/>
        <w:numPr>
          <w:ilvl w:val="0"/>
          <w:numId w:val="1080"/>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0"/>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0"/>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0"/>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0"/>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0"/>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0"/>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0"/>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6">
        <w:r>
          <w:rPr>
            <w:rStyle w:val="Hyperlink"/>
          </w:rPr>
          <w:t xml:space="preserve">https://doi.org/10.1007/s10021-010-9315-8</w:t>
        </w:r>
      </w:hyperlink>
    </w:p>
    <w:p>
      <w:pPr>
        <w:pStyle w:val="Compact"/>
        <w:numPr>
          <w:ilvl w:val="0"/>
          <w:numId w:val="1080"/>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0"/>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7"/>
    <w:bookmarkStart w:id="418" w:name="emission-factor-uncertainty"/>
    <w:p>
      <w:pPr>
        <w:pStyle w:val="Heading4"/>
      </w:pPr>
      <w:r>
        <w:rPr>
          <w:i/>
          <w:iCs/>
        </w:rPr>
        <w:t xml:space="preserve">Emission Factor Uncertainty:</w:t>
      </w:r>
    </w:p>
    <w:p>
      <w:pPr>
        <w:pStyle w:val="Compact"/>
        <w:numPr>
          <w:ilvl w:val="0"/>
          <w:numId w:val="1081"/>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1"/>
        </w:numPr>
      </w:pPr>
      <w:r>
        <w:t xml:space="preserve">Brown, J.K. (1974). Handbook for inventorying downed woody material. USDA Forest Service General</w:t>
      </w:r>
      <w:r>
        <w:t xml:space="preserve"> </w:t>
      </w:r>
      <w:r>
        <w:t xml:space="preserve">Technical Report INT-16.</w:t>
      </w:r>
    </w:p>
    <w:p>
      <w:pPr>
        <w:pStyle w:val="Compact"/>
        <w:numPr>
          <w:ilvl w:val="0"/>
          <w:numId w:val="1081"/>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1"/>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1"/>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1"/>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1"/>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1"/>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1"/>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1"/>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18"/>
    <w:bookmarkStart w:id="420" w:name="activity-data-uncertainty"/>
    <w:p>
      <w:pPr>
        <w:pStyle w:val="Heading4"/>
      </w:pPr>
      <w:r>
        <w:rPr>
          <w:i/>
          <w:iCs/>
        </w:rPr>
        <w:t xml:space="preserve">Activity Data Uncertainty:</w:t>
      </w:r>
    </w:p>
    <w:p>
      <w:pPr>
        <w:pStyle w:val="Compact"/>
        <w:numPr>
          <w:ilvl w:val="0"/>
          <w:numId w:val="1082"/>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2"/>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19">
        <w:r>
          <w:rPr>
            <w:rStyle w:val="Hyperlink"/>
          </w:rPr>
          <w:t xml:space="preserve">https://doi.org/10.1016/j.rse.2015.01.009</w:t>
        </w:r>
      </w:hyperlink>
    </w:p>
    <w:p>
      <w:pPr>
        <w:pStyle w:val="Compact"/>
        <w:numPr>
          <w:ilvl w:val="0"/>
          <w:numId w:val="1082"/>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2"/>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2"/>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2"/>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2"/>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2"/>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20"/>
    <w:bookmarkStart w:id="423" w:name="monte-carlo-methods"/>
    <w:p>
      <w:pPr>
        <w:pStyle w:val="Heading4"/>
      </w:pPr>
      <w:r>
        <w:rPr>
          <w:i/>
          <w:iCs/>
        </w:rPr>
        <w:t xml:space="preserve">Monte Carlo Methods:</w:t>
      </w:r>
    </w:p>
    <w:p>
      <w:pPr>
        <w:pStyle w:val="Compact"/>
        <w:numPr>
          <w:ilvl w:val="0"/>
          <w:numId w:val="1083"/>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21">
        <w:r>
          <w:rPr>
            <w:rStyle w:val="Hyperlink"/>
          </w:rPr>
          <w:t xml:space="preserve">https://doi.org/10.1007/s10021-014-9749-5</w:t>
        </w:r>
      </w:hyperlink>
    </w:p>
    <w:p>
      <w:pPr>
        <w:pStyle w:val="Compact"/>
        <w:numPr>
          <w:ilvl w:val="0"/>
          <w:numId w:val="1083"/>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3"/>
        </w:numPr>
      </w:pPr>
      <w:r>
        <w:t xml:space="preserve">Molto, Q., Rossi, V., &amp; Blanc, L. (2013). Error propagation in biomass estimation in tropical</w:t>
      </w:r>
      <w:r>
        <w:t xml:space="preserve"> </w:t>
      </w:r>
      <w:r>
        <w:t xml:space="preserve">forests. Methods in Ecology and Evolution, 4(2), 175–183.</w:t>
      </w:r>
      <w:r>
        <w:t xml:space="preserve"> </w:t>
      </w:r>
      <w:hyperlink r:id="rId422">
        <w:r>
          <w:rPr>
            <w:rStyle w:val="Hyperlink"/>
          </w:rPr>
          <w:t xml:space="preserve">https://doi.org/10.1111/j.2041-210x.2012.00266.x</w:t>
        </w:r>
      </w:hyperlink>
    </w:p>
    <w:p>
      <w:pPr>
        <w:pStyle w:val="Compact"/>
        <w:numPr>
          <w:ilvl w:val="0"/>
          <w:numId w:val="1083"/>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6">
        <w:r>
          <w:rPr>
            <w:rStyle w:val="Hyperlink"/>
          </w:rPr>
          <w:t xml:space="preserve">https://doi.org/10.1007/s10021-010-9315-8</w:t>
        </w:r>
      </w:hyperlink>
    </w:p>
    <w:bookmarkEnd w:id="423"/>
    <w:bookmarkStart w:id="424" w:name="biostatistical-theory"/>
    <w:p>
      <w:pPr>
        <w:pStyle w:val="Heading4"/>
      </w:pPr>
      <w:r>
        <w:rPr>
          <w:i/>
          <w:iCs/>
        </w:rPr>
        <w:t xml:space="preserve">Biostatistical Theory:</w:t>
      </w:r>
    </w:p>
    <w:p>
      <w:pPr>
        <w:pStyle w:val="Compact"/>
        <w:numPr>
          <w:ilvl w:val="0"/>
          <w:numId w:val="1084"/>
        </w:numPr>
      </w:pPr>
      <w:r>
        <w:t xml:space="preserve">Buchanan, M. (2000). Ubiquity: Why Catastrophes Happen. Three Rivers Press.</w:t>
      </w:r>
    </w:p>
    <w:p>
      <w:pPr>
        <w:pStyle w:val="Compact"/>
        <w:numPr>
          <w:ilvl w:val="0"/>
          <w:numId w:val="1084"/>
        </w:numPr>
      </w:pPr>
      <w:r>
        <w:t xml:space="preserve">Mandelbrot, B. B., &amp; Hudson, R. L. (2004). The Misbehavior of Markets: A Fractal View of</w:t>
      </w:r>
      <w:r>
        <w:t xml:space="preserve"> </w:t>
      </w:r>
      <w:r>
        <w:t xml:space="preserve">Financial Turbulence. Basic Books.</w:t>
      </w:r>
    </w:p>
    <w:p>
      <w:pPr>
        <w:pStyle w:val="Compact"/>
        <w:numPr>
          <w:ilvl w:val="0"/>
          <w:numId w:val="1084"/>
        </w:numPr>
      </w:pPr>
      <w:r>
        <w:t xml:space="preserve">Strogatz, S. H. (2003). Sync: How Order Emerges from Chaos in the Universe, Nature, and Daily</w:t>
      </w:r>
      <w:r>
        <w:t xml:space="preserve"> </w:t>
      </w:r>
      <w:r>
        <w:t xml:space="preserve">Life. Hyperion.</w:t>
      </w:r>
    </w:p>
    <w:p>
      <w:pPr>
        <w:pStyle w:val="Compact"/>
        <w:numPr>
          <w:ilvl w:val="0"/>
          <w:numId w:val="1084"/>
        </w:numPr>
      </w:pPr>
      <w:r>
        <w:t xml:space="preserve">Taleb, N. N. (2007). The Black Swan: The Impact of the Highly Improbable. Random House.</w:t>
      </w:r>
    </w:p>
    <w:bookmarkEnd w:id="424"/>
    <w:bookmarkStart w:id="440"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25">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6">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7">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5">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28">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30">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31">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32">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33">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34">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6">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35">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6">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8">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7">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38">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39">
              <w:r>
                <w:rPr>
                  <w:rStyle w:val="Hyperlink"/>
                </w:rPr>
                <w:t xml:space="preserve">Link</w:t>
              </w:r>
            </w:hyperlink>
          </w:p>
        </w:tc>
      </w:tr>
    </w:tbl>
    <w:bookmarkEnd w:id="440"/>
    <w:bookmarkStart w:id="441"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5"/>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41"/>
    <w:bookmarkEnd w:id="442"/>
    <w:bookmarkStart w:id="443"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6"/>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7"/>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43"/>
    <w:bookmarkStart w:id="444"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44"/>
    <w:bookmarkStart w:id="445"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45"/>
    <w:bookmarkStart w:id="446"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6"/>
    <w:bookmarkStart w:id="447"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7"/>
    <w:bookmarkStart w:id="448"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48"/>
    <w:bookmarkStart w:id="449" w:name="set-seed-for-reproducibility"/>
    <w:p>
      <w:pPr>
        <w:pStyle w:val="Heading1"/>
      </w:pPr>
      <w:r>
        <w:t xml:space="preserve">Set seed for reproducibility</w:t>
      </w:r>
    </w:p>
    <w:p>
      <w:pPr>
        <w:pStyle w:val="FirstParagraph"/>
      </w:pPr>
      <w:r>
        <w:t xml:space="preserve">set.seed(42)</w:t>
      </w:r>
    </w:p>
    <w:bookmarkEnd w:id="449"/>
    <w:bookmarkStart w:id="450" w:name="number-of-monte-carlo-iterations"/>
    <w:p>
      <w:pPr>
        <w:pStyle w:val="Heading1"/>
      </w:pPr>
      <w:r>
        <w:t xml:space="preserve">Number of Monte Carlo iterations</w:t>
      </w:r>
    </w:p>
    <w:p>
      <w:pPr>
        <w:pStyle w:val="FirstParagraph"/>
      </w:pPr>
      <w:r>
        <w:t xml:space="preserve">n_sim &lt;- 10000</w:t>
      </w:r>
    </w:p>
    <w:bookmarkEnd w:id="450"/>
    <w:bookmarkStart w:id="451"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51"/>
    <w:bookmarkStart w:id="452"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52"/>
    <w:bookmarkStart w:id="453"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53"/>
    <w:bookmarkStart w:id="454" w:name="gwp-100-values-ipcc-ar6"/>
    <w:p>
      <w:pPr>
        <w:pStyle w:val="Heading1"/>
      </w:pPr>
      <w:r>
        <w:t xml:space="preserve">GWP-100 values (IPCC AR6)</w:t>
      </w:r>
    </w:p>
    <w:p>
      <w:pPr>
        <w:pStyle w:val="FirstParagraph"/>
      </w:pPr>
      <w:r>
        <w:t xml:space="preserve">GWP_CH4 &lt;- 28 GWP_N2O &lt;- 265</w:t>
      </w:r>
    </w:p>
    <w:bookmarkEnd w:id="454"/>
    <w:bookmarkStart w:id="455"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55"/>
    <w:bookmarkStart w:id="456"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6"/>
    <w:bookmarkStart w:id="457"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7"/>
    <w:bookmarkStart w:id="458"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8"/>
        </w:numPr>
      </w:pPr>
      <w:r>
        <w:t xml:space="preserve">Flight planning:</w:t>
      </w:r>
    </w:p>
    <w:bookmarkEnd w:id="458"/>
    <w:bookmarkStart w:id="459"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59"/>
    <w:bookmarkStart w:id="460"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89"/>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0"/>
        </w:numPr>
      </w:pPr>
      <w:r>
        <w:t xml:space="preserve">Gas concentration analysis:</w:t>
      </w:r>
    </w:p>
    <w:bookmarkEnd w:id="460"/>
    <w:bookmarkStart w:id="461"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61"/>
    <w:bookmarkStart w:id="462"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62"/>
    <w:bookmarkStart w:id="463"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63"/>
    <w:bookmarkStart w:id="464"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64"/>
    <w:bookmarkStart w:id="465"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65"/>
    <w:bookmarkStart w:id="466"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6"/>
    <w:bookmarkStart w:id="467" w:name="section"/>
    <w:p>
      <w:pPr>
        <w:pStyle w:val="Heading1"/>
      </w:pPr>
      <w:r>
        <w:t xml:space="preserve">=============================================================================</w:t>
      </w:r>
    </w:p>
    <w:bookmarkEnd w:id="467"/>
    <w:bookmarkStart w:id="468" w:name="X79659c6e2da773b1f424fba67068bae538f9fa8"/>
    <w:p>
      <w:pPr>
        <w:pStyle w:val="Heading1"/>
      </w:pPr>
      <w:r>
        <w:t xml:space="preserve">ART-TREES COMPLIANT EMISSION FACTOR UNCERTAINTY ASSESSMENT</w:t>
      </w:r>
    </w:p>
    <w:bookmarkEnd w:id="468"/>
    <w:bookmarkStart w:id="469" w:name="Xab64bd744c5122dd682fb63986a501df36be991"/>
    <w:p>
      <w:pPr>
        <w:pStyle w:val="Heading1"/>
      </w:pPr>
      <w:r>
        <w:t xml:space="preserve">Combines: Emission factors + Combustion factor + Biomass uncertainty</w:t>
      </w:r>
    </w:p>
    <w:bookmarkEnd w:id="469"/>
    <w:bookmarkStart w:id="470" w:name="section-1"/>
    <w:p>
      <w:pPr>
        <w:pStyle w:val="Heading1"/>
      </w:pPr>
      <w:r>
        <w:t xml:space="preserve">=============================================================================</w:t>
      </w:r>
    </w:p>
    <w:p>
      <w:pPr>
        <w:pStyle w:val="FirstParagraph"/>
      </w:pPr>
      <w:r>
        <w:t xml:space="preserve">set.seed(2025) n_sim &lt;- 10000</w:t>
      </w:r>
    </w:p>
    <w:bookmarkEnd w:id="470"/>
    <w:bookmarkStart w:id="471"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71"/>
    <w:bookmarkStart w:id="472"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72"/>
    <w:bookmarkStart w:id="473"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73"/>
    <w:bookmarkStart w:id="474"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74"/>
    <w:bookmarkStart w:id="475"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75"/>
    <w:bookmarkStart w:id="476"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6"/>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1"/>
        </w:numPr>
      </w:pPr>
      <w:r>
        <w:rPr>
          <w:b/>
          <w:bCs/>
        </w:rPr>
        <w:t xml:space="preserve">Amazon Web Services (AWS): Open data Sentinel-2/2A Level-2A collections for the Earth’s land surface.</w:t>
      </w:r>
    </w:p>
    <w:p>
      <w:pPr>
        <w:pStyle w:val="Compact"/>
        <w:numPr>
          <w:ilvl w:val="0"/>
          <w:numId w:val="1001"/>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1"/>
        </w:numPr>
      </w:pPr>
      <w:r>
        <w:rPr>
          <w:b/>
          <w:bCs/>
        </w:rPr>
        <w:t xml:space="preserve">Copernicus Data Space Ecosystem (CDSE): Open data collections of Sentinel-1 RTC and Sentinel-2/2A images.</w:t>
      </w:r>
    </w:p>
    <w:p>
      <w:pPr>
        <w:pStyle w:val="Compact"/>
        <w:numPr>
          <w:ilvl w:val="0"/>
          <w:numId w:val="1001"/>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rPr>
          <w:b/>
          <w:bCs/>
        </w:rPr>
        <w:t xml:space="preserve">Harmonized Landsat-Sentinel (HLS): HLS, provided by NASA, is an open data collection that processes Landsat 8 and Sentinel-2 imagery to a common standard.</w:t>
      </w:r>
    </w:p>
    <w:p>
      <w:pPr>
        <w:pStyle w:val="Compact"/>
        <w:numPr>
          <w:ilvl w:val="0"/>
          <w:numId w:val="1001"/>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rPr>
          <w:b/>
          <w:bCs/>
        </w:rPr>
        <w:t xml:space="preserve">Swiss Data Cube (SDC): Collection of Sentinel-2/2A and Landsat-8 images for Switzerland.</w:t>
      </w:r>
    </w:p>
    <w:p>
      <w:pPr>
        <w:pStyle w:val="Compact"/>
        <w:numPr>
          <w:ilvl w:val="0"/>
          <w:numId w:val="1001"/>
        </w:numPr>
      </w:pPr>
      <w:r>
        <w:rPr>
          <w:b/>
          <w:bCs/>
        </w:rPr>
        <w:t xml:space="preserve">Terrascope: Cloud service with EO products, which includes the ESA World Cover map.</w:t>
      </w:r>
    </w:p>
    <w:p>
      <w:pPr>
        <w:pStyle w:val="Compact"/>
        <w:numPr>
          <w:ilvl w:val="0"/>
          <w:numId w:val="1001"/>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8"/>
        </w:numPr>
      </w:pPr>
      <w:r>
        <w:rPr>
          <w:b/>
          <w:bCs/>
        </w:rPr>
        <w:t xml:space="preserve">Amazon Web Services (AWS): Open data Sentinel-2/2A Level-2A collections for the Earth’s land surface.</w:t>
      </w:r>
    </w:p>
    <w:p>
      <w:pPr>
        <w:pStyle w:val="Compact"/>
        <w:numPr>
          <w:ilvl w:val="0"/>
          <w:numId w:val="1008"/>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8"/>
        </w:numPr>
      </w:pPr>
      <w:r>
        <w:rPr>
          <w:b/>
          <w:bCs/>
        </w:rPr>
        <w:t xml:space="preserve">Copernicus Data Space Ecosystem (CDSE): Open data collections of Sentinel-1 RTC and Sentinel-2/2A images.</w:t>
      </w:r>
    </w:p>
    <w:p>
      <w:pPr>
        <w:pStyle w:val="Compact"/>
        <w:numPr>
          <w:ilvl w:val="0"/>
          <w:numId w:val="1008"/>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rPr>
          <w:b/>
          <w:bCs/>
        </w:rPr>
        <w:t xml:space="preserve">Harmonized Landsat-Sentinel (HLS): HLS, provided by NASA, is an open data collection that processes Landsat 8 and Sentinel-2 imagery to a common standard.</w:t>
      </w:r>
    </w:p>
    <w:p>
      <w:pPr>
        <w:pStyle w:val="Compact"/>
        <w:numPr>
          <w:ilvl w:val="0"/>
          <w:numId w:val="1008"/>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rPr>
          <w:b/>
          <w:bCs/>
        </w:rPr>
        <w:t xml:space="preserve">Swiss Data Cube (SDC): Collection of Sentinel-2/2A and Landsat-8 images for Switzerland.</w:t>
      </w:r>
    </w:p>
    <w:p>
      <w:pPr>
        <w:pStyle w:val="Compact"/>
        <w:numPr>
          <w:ilvl w:val="0"/>
          <w:numId w:val="1008"/>
        </w:numPr>
      </w:pPr>
      <w:r>
        <w:rPr>
          <w:b/>
          <w:bCs/>
        </w:rPr>
        <w:t xml:space="preserve">Terrascope: Cloud service with EO products, which includes the ESA World Cover map.</w:t>
      </w:r>
    </w:p>
    <w:p>
      <w:pPr>
        <w:pStyle w:val="Compact"/>
        <w:numPr>
          <w:ilvl w:val="0"/>
          <w:numId w:val="1008"/>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7">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66"/>
        </w:numPr>
      </w:pPr>
      <w:r>
        <w:rPr>
          <w:b/>
          <w:bCs/>
        </w:rPr>
        <w:t xml:space="preserve">Amazon Web Services (AWS): Open data Sentinel-2/2A Level-2A collections for the Earth’s land surface.</w:t>
      </w:r>
    </w:p>
    <w:p>
      <w:pPr>
        <w:pStyle w:val="Compact"/>
        <w:numPr>
          <w:ilvl w:val="0"/>
          <w:numId w:val="1066"/>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66"/>
        </w:numPr>
      </w:pPr>
      <w:r>
        <w:rPr>
          <w:b/>
          <w:bCs/>
        </w:rPr>
        <w:t xml:space="preserve">Copernicus Data Space Ecosystem (CDSE): Open data collections of Sentinel-1 RTC and Sentinel-2/2A images.</w:t>
      </w:r>
    </w:p>
    <w:p>
      <w:pPr>
        <w:pStyle w:val="Compact"/>
        <w:numPr>
          <w:ilvl w:val="0"/>
          <w:numId w:val="1066"/>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6"/>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66"/>
        </w:numPr>
      </w:pPr>
      <w:r>
        <w:rPr>
          <w:b/>
          <w:bCs/>
        </w:rPr>
        <w:t xml:space="preserve">Harmonized Landsat-Sentinel (HLS): HLS, provided by NASA, is an open data collection that processes Landsat 8 and Sentinel-2 imagery to a common standard.</w:t>
      </w:r>
    </w:p>
    <w:p>
      <w:pPr>
        <w:pStyle w:val="Compact"/>
        <w:numPr>
          <w:ilvl w:val="0"/>
          <w:numId w:val="1066"/>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6"/>
        </w:numPr>
      </w:pPr>
      <w:r>
        <w:rPr>
          <w:b/>
          <w:bCs/>
        </w:rPr>
        <w:t xml:space="preserve">Swiss Data Cube (SDC): Collection of Sentinel-2/2A and Landsat-8 images for Switzerland.</w:t>
      </w:r>
    </w:p>
    <w:p>
      <w:pPr>
        <w:pStyle w:val="Compact"/>
        <w:numPr>
          <w:ilvl w:val="0"/>
          <w:numId w:val="1066"/>
        </w:numPr>
      </w:pPr>
      <w:r>
        <w:rPr>
          <w:b/>
          <w:bCs/>
        </w:rPr>
        <w:t xml:space="preserve">Terrascope: Cloud service with EO products, which includes the ESA World Cover map.</w:t>
      </w:r>
    </w:p>
    <w:p>
      <w:pPr>
        <w:pStyle w:val="Compact"/>
        <w:numPr>
          <w:ilvl w:val="0"/>
          <w:numId w:val="1066"/>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182">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10">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1" Target="media/rId291.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96" Target="media/rId196.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hyperlink" Id="rId400" Target="http://www.dcc.fc.up.pt/~ltorgo/DataMiningWithR" TargetMode="External" /><Relationship Type="http://schemas.openxmlformats.org/officeDocument/2006/relationships/hyperlink" Id="rId394" Target="https://CRAN.R-project.org/package=smotefamily" TargetMode="External" /><Relationship Type="http://schemas.openxmlformats.org/officeDocument/2006/relationships/hyperlink" Id="rId348" Target="https://CRAN.R-project.org/package=terra" TargetMode="External" /><Relationship Type="http://schemas.openxmlformats.org/officeDocument/2006/relationships/hyperlink" Id="rId178"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7" Target="https://doi.org/10.1002/j.1538-7305.1948.tb01338.x" TargetMode="External" /><Relationship Type="http://schemas.openxmlformats.org/officeDocument/2006/relationships/hyperlink" Id="rId416" Target="https://doi.org/10.1007/s10021-010-9315-8" TargetMode="External" /><Relationship Type="http://schemas.openxmlformats.org/officeDocument/2006/relationships/hyperlink" Id="rId421" Target="https://doi.org/10.1007/s10021-014-9749-5" TargetMode="External" /><Relationship Type="http://schemas.openxmlformats.org/officeDocument/2006/relationships/hyperlink" Id="rId415" Target="https://doi.org/10.1007/s13595-014-0434-9" TargetMode="External" /><Relationship Type="http://schemas.openxmlformats.org/officeDocument/2006/relationships/hyperlink" Id="rId414"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19" Target="https://doi.org/10.1016/j.rse.2015.01.009" TargetMode="External" /><Relationship Type="http://schemas.openxmlformats.org/officeDocument/2006/relationships/hyperlink" Id="rId321" Target="https://doi.org/10.1034/j.1600-0706.2003.12181.x" TargetMode="External" /><Relationship Type="http://schemas.openxmlformats.org/officeDocument/2006/relationships/hyperlink" Id="rId398" Target="https://doi.org/10.1080/07038992.2021.1941823" TargetMode="External" /><Relationship Type="http://schemas.openxmlformats.org/officeDocument/2006/relationships/hyperlink" Id="rId379" Target="https://doi.org/10.1111/2041-210X.12753" TargetMode="External" /><Relationship Type="http://schemas.openxmlformats.org/officeDocument/2006/relationships/hyperlink" Id="rId422" Target="https://doi.org/10.1111/j.2041-210x.2012.00266.x" TargetMode="External" /><Relationship Type="http://schemas.openxmlformats.org/officeDocument/2006/relationships/hyperlink" Id="rId318" Target="https://doi.org/10.3390/data4030092" TargetMode="External" /><Relationship Type="http://schemas.openxmlformats.org/officeDocument/2006/relationships/hyperlink" Id="rId392" Target="https://doi.org/10.3390/rs13132428" TargetMode="External" /><Relationship Type="http://schemas.openxmlformats.org/officeDocument/2006/relationships/hyperlink" Id="rId338" Target="https://doi.org/10.5067/DOC/CEOSWGCV/LPV/AGB.001" TargetMode="External" /><Relationship Type="http://schemas.openxmlformats.org/officeDocument/2006/relationships/hyperlink" Id="rId413" Target="https://doi.org/10.5589/m06-030" TargetMode="External" /><Relationship Type="http://schemas.openxmlformats.org/officeDocument/2006/relationships/hyperlink" Id="rId331" Target="https://e-sensing.github.io/sitsbook/uncertainty-and-active-learning.html#uncertainty-and-active-learning" TargetMode="External" /><Relationship Type="http://schemas.openxmlformats.org/officeDocument/2006/relationships/hyperlink" Id="rId477" Target="https://github.com/training-resource/uncertainty" TargetMode="External" /><Relationship Type="http://schemas.openxmlformats.org/officeDocument/2006/relationships/hyperlink" Id="rId179" Target="https://stacspec.org/en" TargetMode="External" /><Relationship Type="http://schemas.openxmlformats.org/officeDocument/2006/relationships/hyperlink" Id="rId324" Target="https://www.artredd.org/wp-content/uploads/2021/12/TREES-2.0-August-2021-Clean.pdf" TargetMode="External" /><Relationship Type="http://schemas.openxmlformats.org/officeDocument/2006/relationships/hyperlink" Id="rId411" Target="https://www.ipcc-nggip.iges.or.jp/public/2006gl/pdf/0_Overview/V0_2_Glossary.pdf" TargetMode="External" /><Relationship Type="http://schemas.openxmlformats.org/officeDocument/2006/relationships/hyperlink" Id="rId425" Target="https://www.ipcc-nggip.iges.or.jp/public/2006gl/pdf/4_Volume4/V4_02_Ch2_Generic.pdf#page=15" TargetMode="External" /><Relationship Type="http://schemas.openxmlformats.org/officeDocument/2006/relationships/hyperlink" Id="rId426"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437"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27"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428" Target="https://www.ipcc-nggip.iges.or.jp/public/2019rf/pdf/4_Volume4/19R_V4_Ch03_Land%20Representation.pdf#page=11" TargetMode="External" /><Relationship Type="http://schemas.openxmlformats.org/officeDocument/2006/relationships/hyperlink" Id="rId431" Target="https://www.ipcc-nggip.iges.or.jp/public/2019rf/pdf/4_Volume4/19R_V4_Ch03_Land%20Representation.pdf#page=17" TargetMode="External" /><Relationship Type="http://schemas.openxmlformats.org/officeDocument/2006/relationships/hyperlink" Id="rId430" Target="https://www.ipcc-nggip.iges.or.jp/public/2019rf/pdf/4_Volume4/19R_V4_Ch03_Land%20Representation.pdf#page=20" TargetMode="External" /><Relationship Type="http://schemas.openxmlformats.org/officeDocument/2006/relationships/hyperlink" Id="rId429" Target="https://www.ipcc-nggip.iges.or.jp/public/2019rf/pdf/4_Volume4/19R_V4_Ch03_Land%20Representation.pdf#page=21" TargetMode="External" /><Relationship Type="http://schemas.openxmlformats.org/officeDocument/2006/relationships/hyperlink" Id="rId433" Target="https://www.ipcc-nggip.iges.or.jp/public/2019rf/pdf/4_Volume4/19R_V4_Ch03_Land%20Representation.pdf#page=35" TargetMode="External" /><Relationship Type="http://schemas.openxmlformats.org/officeDocument/2006/relationships/hyperlink" Id="rId432" Target="https://www.ipcc-nggip.iges.or.jp/public/2019rf/pdf/4_Volume4/19R_V4_Ch03_Land%20Representation.pdf#page=47" TargetMode="External" /><Relationship Type="http://schemas.openxmlformats.org/officeDocument/2006/relationships/hyperlink" Id="rId434"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435" Target="https://www.ipcc-nggip.iges.or.jp/public/2019rf/pdf/4_Volume4/19R_V4_Ch05_Cropland.pdf#page=41.9" TargetMode="External" /><Relationship Type="http://schemas.openxmlformats.org/officeDocument/2006/relationships/hyperlink" Id="rId436"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39" Target="https://www.ipcc.ch/report/ar6/wg1/downloads/report/IPCC_AR6_WGI_Chapter07.pdf#page=95" TargetMode="External" /><Relationship Type="http://schemas.openxmlformats.org/officeDocument/2006/relationships/hyperlink" Id="rId438"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400" Target="http://www.dcc.fc.up.pt/~ltorgo/DataMiningWithR" TargetMode="External" /><Relationship Type="http://schemas.openxmlformats.org/officeDocument/2006/relationships/hyperlink" Id="rId394" Target="https://CRAN.R-project.org/package=smotefamily" TargetMode="External" /><Relationship Type="http://schemas.openxmlformats.org/officeDocument/2006/relationships/hyperlink" Id="rId348" Target="https://CRAN.R-project.org/package=terra" TargetMode="External" /><Relationship Type="http://schemas.openxmlformats.org/officeDocument/2006/relationships/hyperlink" Id="rId178"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7" Target="https://doi.org/10.1002/j.1538-7305.1948.tb01338.x" TargetMode="External" /><Relationship Type="http://schemas.openxmlformats.org/officeDocument/2006/relationships/hyperlink" Id="rId416" Target="https://doi.org/10.1007/s10021-010-9315-8" TargetMode="External" /><Relationship Type="http://schemas.openxmlformats.org/officeDocument/2006/relationships/hyperlink" Id="rId421" Target="https://doi.org/10.1007/s10021-014-9749-5" TargetMode="External" /><Relationship Type="http://schemas.openxmlformats.org/officeDocument/2006/relationships/hyperlink" Id="rId415" Target="https://doi.org/10.1007/s13595-014-0434-9" TargetMode="External" /><Relationship Type="http://schemas.openxmlformats.org/officeDocument/2006/relationships/hyperlink" Id="rId414"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19" Target="https://doi.org/10.1016/j.rse.2015.01.009" TargetMode="External" /><Relationship Type="http://schemas.openxmlformats.org/officeDocument/2006/relationships/hyperlink" Id="rId321" Target="https://doi.org/10.1034/j.1600-0706.2003.12181.x" TargetMode="External" /><Relationship Type="http://schemas.openxmlformats.org/officeDocument/2006/relationships/hyperlink" Id="rId398" Target="https://doi.org/10.1080/07038992.2021.1941823" TargetMode="External" /><Relationship Type="http://schemas.openxmlformats.org/officeDocument/2006/relationships/hyperlink" Id="rId379" Target="https://doi.org/10.1111/2041-210X.12753" TargetMode="External" /><Relationship Type="http://schemas.openxmlformats.org/officeDocument/2006/relationships/hyperlink" Id="rId422" Target="https://doi.org/10.1111/j.2041-210x.2012.00266.x" TargetMode="External" /><Relationship Type="http://schemas.openxmlformats.org/officeDocument/2006/relationships/hyperlink" Id="rId318" Target="https://doi.org/10.3390/data4030092" TargetMode="External" /><Relationship Type="http://schemas.openxmlformats.org/officeDocument/2006/relationships/hyperlink" Id="rId392" Target="https://doi.org/10.3390/rs13132428" TargetMode="External" /><Relationship Type="http://schemas.openxmlformats.org/officeDocument/2006/relationships/hyperlink" Id="rId338" Target="https://doi.org/10.5067/DOC/CEOSWGCV/LPV/AGB.001" TargetMode="External" /><Relationship Type="http://schemas.openxmlformats.org/officeDocument/2006/relationships/hyperlink" Id="rId413" Target="https://doi.org/10.5589/m06-030" TargetMode="External" /><Relationship Type="http://schemas.openxmlformats.org/officeDocument/2006/relationships/hyperlink" Id="rId331" Target="https://e-sensing.github.io/sitsbook/uncertainty-and-active-learning.html#uncertainty-and-active-learning" TargetMode="External" /><Relationship Type="http://schemas.openxmlformats.org/officeDocument/2006/relationships/hyperlink" Id="rId477" Target="https://github.com/training-resource/uncertainty" TargetMode="External" /><Relationship Type="http://schemas.openxmlformats.org/officeDocument/2006/relationships/hyperlink" Id="rId179" Target="https://stacspec.org/en" TargetMode="External" /><Relationship Type="http://schemas.openxmlformats.org/officeDocument/2006/relationships/hyperlink" Id="rId324" Target="https://www.artredd.org/wp-content/uploads/2021/12/TREES-2.0-August-2021-Clean.pdf" TargetMode="External" /><Relationship Type="http://schemas.openxmlformats.org/officeDocument/2006/relationships/hyperlink" Id="rId411" Target="https://www.ipcc-nggip.iges.or.jp/public/2006gl/pdf/0_Overview/V0_2_Glossary.pdf" TargetMode="External" /><Relationship Type="http://schemas.openxmlformats.org/officeDocument/2006/relationships/hyperlink" Id="rId425" Target="https://www.ipcc-nggip.iges.or.jp/public/2006gl/pdf/4_Volume4/V4_02_Ch2_Generic.pdf#page=15" TargetMode="External" /><Relationship Type="http://schemas.openxmlformats.org/officeDocument/2006/relationships/hyperlink" Id="rId426"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437"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27"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428" Target="https://www.ipcc-nggip.iges.or.jp/public/2019rf/pdf/4_Volume4/19R_V4_Ch03_Land%20Representation.pdf#page=11" TargetMode="External" /><Relationship Type="http://schemas.openxmlformats.org/officeDocument/2006/relationships/hyperlink" Id="rId431" Target="https://www.ipcc-nggip.iges.or.jp/public/2019rf/pdf/4_Volume4/19R_V4_Ch03_Land%20Representation.pdf#page=17" TargetMode="External" /><Relationship Type="http://schemas.openxmlformats.org/officeDocument/2006/relationships/hyperlink" Id="rId430" Target="https://www.ipcc-nggip.iges.or.jp/public/2019rf/pdf/4_Volume4/19R_V4_Ch03_Land%20Representation.pdf#page=20" TargetMode="External" /><Relationship Type="http://schemas.openxmlformats.org/officeDocument/2006/relationships/hyperlink" Id="rId429" Target="https://www.ipcc-nggip.iges.or.jp/public/2019rf/pdf/4_Volume4/19R_V4_Ch03_Land%20Representation.pdf#page=21" TargetMode="External" /><Relationship Type="http://schemas.openxmlformats.org/officeDocument/2006/relationships/hyperlink" Id="rId433" Target="https://www.ipcc-nggip.iges.or.jp/public/2019rf/pdf/4_Volume4/19R_V4_Ch03_Land%20Representation.pdf#page=35" TargetMode="External" /><Relationship Type="http://schemas.openxmlformats.org/officeDocument/2006/relationships/hyperlink" Id="rId432" Target="https://www.ipcc-nggip.iges.or.jp/public/2019rf/pdf/4_Volume4/19R_V4_Ch03_Land%20Representation.pdf#page=47" TargetMode="External" /><Relationship Type="http://schemas.openxmlformats.org/officeDocument/2006/relationships/hyperlink" Id="rId434"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435" Target="https://www.ipcc-nggip.iges.or.jp/public/2019rf/pdf/4_Volume4/19R_V4_Ch05_Cropland.pdf#page=41.9" TargetMode="External" /><Relationship Type="http://schemas.openxmlformats.org/officeDocument/2006/relationships/hyperlink" Id="rId436"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39" Target="https://www.ipcc.ch/report/ar6/wg1/downloads/report/IPCC_AR6_WGI_Chapter07.pdf#page=95" TargetMode="External" /><Relationship Type="http://schemas.openxmlformats.org/officeDocument/2006/relationships/hyperlink" Id="rId438"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Seamus Murphy; Dr Julie Nash; Nicole Scotti</dc:creator>
  <cp:keywords/>
  <dcterms:created xsi:type="dcterms:W3CDTF">2025-12-29T19:19:14Z</dcterms:created>
  <dcterms:modified xsi:type="dcterms:W3CDTF">2025-12-29T19:19:14Z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